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09" w:rsidRPr="00317012" w:rsidRDefault="00742009" w:rsidP="00742009">
      <w:pPr>
        <w:pStyle w:val="PlainText"/>
        <w:jc w:val="center"/>
        <w:rPr>
          <w:rFonts w:asciiTheme="minorHAnsi" w:hAnsiTheme="minorHAnsi" w:cstheme="minorHAnsi"/>
          <w:b/>
          <w:color w:val="44546A" w:themeColor="text2"/>
          <w:sz w:val="22"/>
          <w:szCs w:val="22"/>
          <w:u w:val="single"/>
        </w:rPr>
      </w:pPr>
      <w:bookmarkStart w:id="0" w:name="_GoBack"/>
      <w:bookmarkEnd w:id="0"/>
      <w:r w:rsidRPr="00317012">
        <w:rPr>
          <w:rFonts w:asciiTheme="minorHAnsi" w:hAnsiTheme="minorHAnsi" w:cstheme="minorHAnsi"/>
          <w:b/>
          <w:color w:val="44546A" w:themeColor="text2"/>
          <w:sz w:val="22"/>
          <w:szCs w:val="22"/>
          <w:u w:val="single"/>
        </w:rPr>
        <w:t xml:space="preserve">HAND HYGIENE </w:t>
      </w: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PURPOSE:</w:t>
      </w: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To reduce the number of potential pathogens on the hands and to decrease the likelihood of transmission of nosocomial pathogens via the contact route. </w:t>
      </w: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742009" w:rsidRPr="00317012" w:rsidRDefault="00742009" w:rsidP="00742009">
      <w:pPr>
        <w:pStyle w:val="PlainText"/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r w:rsidRPr="00317012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Hand Hygiene before and after patient contact is the single most important means of preventing the spread of infection.</w:t>
      </w: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317012" w:rsidRDefault="00742009" w:rsidP="00317012">
      <w:pPr>
        <w:pStyle w:val="PlainText"/>
        <w:ind w:left="720" w:hanging="720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Hand washing facilities are located in all patient care areas. </w:t>
      </w:r>
    </w:p>
    <w:p w:rsidR="00317012" w:rsidRPr="00317012" w:rsidRDefault="00742009" w:rsidP="0031701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Hand washi</w:t>
      </w:r>
      <w:r w:rsidR="0031701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ng facilities should be readily </w:t>
      </w: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accessible and of sufficient num</w:t>
      </w:r>
      <w:r w:rsidR="0031701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ber in order to promote </w:t>
      </w:r>
      <w:r w:rsidRPr="0031701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appropriate </w:t>
      </w:r>
      <w:r w:rsidR="00317012" w:rsidRPr="00317012">
        <w:rPr>
          <w:rFonts w:asciiTheme="minorHAnsi" w:hAnsiTheme="minorHAnsi" w:cstheme="minorHAnsi"/>
          <w:color w:val="44546A" w:themeColor="text2"/>
          <w:sz w:val="22"/>
          <w:szCs w:val="22"/>
        </w:rPr>
        <w:t>h</w:t>
      </w:r>
      <w:r w:rsidRPr="00317012">
        <w:rPr>
          <w:rFonts w:asciiTheme="minorHAnsi" w:hAnsiTheme="minorHAnsi" w:cstheme="minorHAnsi"/>
          <w:color w:val="44546A" w:themeColor="text2"/>
          <w:sz w:val="22"/>
          <w:szCs w:val="22"/>
        </w:rPr>
        <w:t>and washing. They are to be included in the plan</w:t>
      </w:r>
      <w:r w:rsidR="00317012" w:rsidRPr="0031701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ning of all new construction or </w:t>
      </w:r>
      <w:r w:rsidRPr="0031701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renovation.  </w:t>
      </w:r>
    </w:p>
    <w:p w:rsidR="00742009" w:rsidRPr="00317012" w:rsidRDefault="00317012" w:rsidP="0031701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Alcohol-based hand rub (ABHR) dispensers </w:t>
      </w:r>
      <w:r w:rsidR="00742009"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should be placed in readily-accessib</w:t>
      </w:r>
      <w:r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le areas throughout the patient </w:t>
      </w:r>
      <w:r w:rsidR="00742009" w:rsidRPr="0031701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care area to allow for ease of access. </w:t>
      </w: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CD5ED7" w:rsidRDefault="00CD5ED7" w:rsidP="00742009">
      <w:pPr>
        <w:pStyle w:val="PlainText"/>
        <w:ind w:left="1440" w:hanging="1440"/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>Use ABHR i</w:t>
      </w:r>
      <w:r w:rsidR="00742009"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f hands are not visibly soiled for routine decontamination of hands.  </w:t>
      </w:r>
    </w:p>
    <w:p w:rsidR="00CD5ED7" w:rsidRPr="00CD5ED7" w:rsidRDefault="00742009" w:rsidP="00CD5ED7">
      <w:pPr>
        <w:pStyle w:val="PlainText"/>
        <w:numPr>
          <w:ilvl w:val="0"/>
          <w:numId w:val="2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Apply product to palm of one hand and rub hands together, covering all surfaces of hands and fin</w:t>
      </w:r>
      <w:r w:rsidR="00CD5ED7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gers, </w:t>
      </w:r>
      <w:r w:rsidRPr="00CD5ED7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until hands are dry.  </w:t>
      </w:r>
    </w:p>
    <w:p w:rsidR="00CD5ED7" w:rsidRDefault="00742009" w:rsidP="00CD5ED7">
      <w:pPr>
        <w:pStyle w:val="PlainText"/>
        <w:numPr>
          <w:ilvl w:val="0"/>
          <w:numId w:val="2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Do not use gel in close proximity to electrical equipment or sources of ignition.</w:t>
      </w:r>
    </w:p>
    <w:p w:rsidR="00CD5ED7" w:rsidRDefault="00CD5ED7" w:rsidP="00742009">
      <w:pPr>
        <w:pStyle w:val="PlainText"/>
        <w:numPr>
          <w:ilvl w:val="0"/>
          <w:numId w:val="2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>ABHR</w:t>
      </w:r>
      <w:r w:rsidR="00742009" w:rsidRPr="00CD5ED7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are NOT reliable in killing bacterial spores, which include </w:t>
      </w:r>
      <w:r w:rsidR="00742009" w:rsidRPr="00CD5ED7">
        <w:rPr>
          <w:rFonts w:asciiTheme="minorHAnsi" w:hAnsiTheme="minorHAnsi" w:cstheme="minorHAnsi"/>
          <w:i/>
          <w:color w:val="44546A" w:themeColor="text2"/>
          <w:sz w:val="22"/>
          <w:szCs w:val="22"/>
        </w:rPr>
        <w:t xml:space="preserve">Clostridium difficile, </w:t>
      </w:r>
      <w:r w:rsidR="00742009" w:rsidRPr="00CD5ED7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and Norovirus.  Gloves are required when caring for patients with </w:t>
      </w:r>
      <w:r w:rsidR="00742009" w:rsidRPr="00CD5ED7">
        <w:rPr>
          <w:rFonts w:asciiTheme="minorHAnsi" w:hAnsiTheme="minorHAnsi" w:cstheme="minorHAnsi"/>
          <w:i/>
          <w:color w:val="44546A" w:themeColor="text2"/>
          <w:sz w:val="22"/>
          <w:szCs w:val="22"/>
        </w:rPr>
        <w:t>C. difficile</w:t>
      </w:r>
      <w:r w:rsidR="00742009" w:rsidRPr="00CD5ED7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-associated diarrhea.  After gloves are removed, hands should be </w:t>
      </w:r>
      <w:r w:rsidR="00742009" w:rsidRPr="00CD5ED7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washed</w:t>
      </w:r>
      <w:r w:rsidR="00742009" w:rsidRPr="00CD5ED7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with </w:t>
      </w:r>
      <w:r>
        <w:rPr>
          <w:rFonts w:asciiTheme="minorHAnsi" w:hAnsiTheme="minorHAnsi" w:cstheme="minorHAnsi"/>
          <w:color w:val="44546A" w:themeColor="text2"/>
          <w:sz w:val="22"/>
          <w:szCs w:val="22"/>
        </w:rPr>
        <w:t>an antimicrobial soap and water.</w:t>
      </w:r>
    </w:p>
    <w:p w:rsidR="00CD5ED7" w:rsidRDefault="00CD5ED7" w:rsidP="00CD5ED7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742009" w:rsidRPr="00CD5ED7" w:rsidRDefault="00CD5ED7" w:rsidP="00CD5ED7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>H</w:t>
      </w:r>
      <w:r w:rsidR="00742009" w:rsidRPr="00CD5ED7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and washing consists of the use of soap, running water, and friction for at least 15 seconds. </w:t>
      </w: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CD5ED7" w:rsidRDefault="00742009" w:rsidP="00CD5ED7">
      <w:pPr>
        <w:pStyle w:val="PlainText"/>
        <w:numPr>
          <w:ilvl w:val="0"/>
          <w:numId w:val="4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Hand hygiene is executed before and after patient contact; after handling items such as dirty dressings, catheters, bedpans, urinals, specimens, etc.; after contact with patient environment; after removing gloves; after blowing nose, etc.  </w:t>
      </w:r>
    </w:p>
    <w:p w:rsidR="00CD5ED7" w:rsidRDefault="00742009" w:rsidP="00CD5ED7">
      <w:pPr>
        <w:pStyle w:val="PlainText"/>
        <w:numPr>
          <w:ilvl w:val="0"/>
          <w:numId w:val="4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Hands will be washed with soap and water after using the restroom, before eating, a</w:t>
      </w:r>
      <w:r w:rsidR="00CD5ED7">
        <w:rPr>
          <w:rFonts w:asciiTheme="minorHAnsi" w:hAnsiTheme="minorHAnsi" w:cstheme="minorHAnsi"/>
          <w:color w:val="44546A" w:themeColor="text2"/>
          <w:sz w:val="22"/>
          <w:szCs w:val="22"/>
        </w:rPr>
        <w:t>nd when they are visibly soiled.</w:t>
      </w:r>
    </w:p>
    <w:p w:rsidR="00CD5ED7" w:rsidRDefault="00CD5ED7" w:rsidP="00CD5ED7">
      <w:pPr>
        <w:pStyle w:val="PlainText"/>
        <w:ind w:left="360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742009" w:rsidRPr="00CD5ED7" w:rsidRDefault="00CD5ED7" w:rsidP="00CD5ED7">
      <w:pPr>
        <w:pStyle w:val="PlainText"/>
        <w:ind w:left="1440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CD5ED7">
        <w:rPr>
          <w:rFonts w:asciiTheme="minorHAnsi" w:hAnsiTheme="minorHAnsi" w:cstheme="minorHAnsi"/>
          <w:i/>
          <w:color w:val="44546A" w:themeColor="text2"/>
          <w:sz w:val="22"/>
          <w:szCs w:val="22"/>
        </w:rPr>
        <w:t>NOTE</w:t>
      </w:r>
      <w:r w:rsidR="00742009" w:rsidRPr="00CD5ED7">
        <w:rPr>
          <w:rFonts w:asciiTheme="minorHAnsi" w:hAnsiTheme="minorHAnsi" w:cstheme="minorHAnsi"/>
          <w:color w:val="44546A" w:themeColor="text2"/>
          <w:sz w:val="22"/>
          <w:szCs w:val="22"/>
        </w:rPr>
        <w:t>:  If hands are contained within utility gloves (used by EVS for cleaning) that are immersed in disinfectant, it is not necessary to wash hands between patient rooms.</w:t>
      </w:r>
    </w:p>
    <w:p w:rsidR="00742009" w:rsidRPr="007A3298" w:rsidRDefault="00742009" w:rsidP="005316C6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Hand hygiene products </w:t>
      </w:r>
    </w:p>
    <w:p w:rsidR="00742009" w:rsidRPr="007A3298" w:rsidRDefault="00742009" w:rsidP="0022151E">
      <w:pPr>
        <w:pStyle w:val="PlainText"/>
        <w:numPr>
          <w:ilvl w:val="0"/>
          <w:numId w:val="5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lastRenderedPageBreak/>
        <w:t>Hand hygiene products used within patient care areas must be approved by the</w:t>
      </w:r>
      <w:r w:rsidR="0038710F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Infection Prevention and Control Program</w:t>
      </w: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.  Healthcare personnel who experience dermatological conditions with approved products should contact Employee Health. </w:t>
      </w:r>
    </w:p>
    <w:p w:rsidR="00742009" w:rsidRPr="007A3298" w:rsidRDefault="00742009" w:rsidP="0022151E">
      <w:pPr>
        <w:pStyle w:val="PlainText"/>
        <w:numPr>
          <w:ilvl w:val="0"/>
          <w:numId w:val="5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Antimicrobial soap is recommended in all clinical situations.</w:t>
      </w:r>
    </w:p>
    <w:p w:rsidR="00742009" w:rsidRPr="007A3298" w:rsidRDefault="00742009" w:rsidP="0022151E">
      <w:pPr>
        <w:pStyle w:val="PlainText"/>
        <w:numPr>
          <w:ilvl w:val="0"/>
          <w:numId w:val="5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An antimicrobial soap or approved </w:t>
      </w:r>
      <w:proofErr w:type="spellStart"/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scrubless</w:t>
      </w:r>
      <w:proofErr w:type="spellEnd"/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antiseptic is to be used for all surgical hand scrubs.</w:t>
      </w:r>
    </w:p>
    <w:p w:rsidR="00742009" w:rsidRPr="007A3298" w:rsidRDefault="00742009" w:rsidP="0022151E">
      <w:pPr>
        <w:pStyle w:val="PlainText"/>
        <w:numPr>
          <w:ilvl w:val="0"/>
          <w:numId w:val="5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Soap dispensers used in patient care areas must utilize completely disposable refill cartridges (including the dispenser tubing). </w:t>
      </w:r>
    </w:p>
    <w:p w:rsidR="00742009" w:rsidRPr="007A3298" w:rsidRDefault="00742009" w:rsidP="0022151E">
      <w:pPr>
        <w:pStyle w:val="PlainText"/>
        <w:numPr>
          <w:ilvl w:val="0"/>
          <w:numId w:val="5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For other areas without disposable refill cartridges, soap bottle size should be 8 </w:t>
      </w:r>
      <w:proofErr w:type="spellStart"/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oz</w:t>
      </w:r>
      <w:proofErr w:type="spellEnd"/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or less, depending on usage, and is never refilled. Bottles are to be discarded after use. </w:t>
      </w:r>
    </w:p>
    <w:p w:rsidR="00742009" w:rsidRPr="007A3298" w:rsidRDefault="00742009" w:rsidP="0022151E">
      <w:pPr>
        <w:pStyle w:val="PlainText"/>
        <w:numPr>
          <w:ilvl w:val="0"/>
          <w:numId w:val="5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Antimicrobial soap with </w:t>
      </w:r>
      <w:proofErr w:type="spellStart"/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Triclosan</w:t>
      </w:r>
      <w:proofErr w:type="spellEnd"/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should not be used. Products with PCMX are preferred.</w:t>
      </w: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ab/>
      </w:r>
    </w:p>
    <w:p w:rsidR="0022151E" w:rsidRDefault="0022151E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Antiseptic </w:t>
      </w:r>
      <w:proofErr w:type="spellStart"/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towelettes</w:t>
      </w:r>
      <w:proofErr w:type="spellEnd"/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, alcohol-based hand hygiene agents, or other evaporative agents </w:t>
      </w:r>
      <w:r w:rsidR="0038710F">
        <w:rPr>
          <w:rFonts w:asciiTheme="minorHAnsi" w:hAnsiTheme="minorHAnsi" w:cstheme="minorHAnsi"/>
          <w:color w:val="44546A" w:themeColor="text2"/>
          <w:sz w:val="22"/>
          <w:szCs w:val="22"/>
        </w:rPr>
        <w:t>for hand hygiene.</w:t>
      </w:r>
    </w:p>
    <w:p w:rsidR="00742009" w:rsidRPr="007A3298" w:rsidRDefault="00742009" w:rsidP="0038710F">
      <w:pPr>
        <w:pStyle w:val="PlainText"/>
        <w:numPr>
          <w:ilvl w:val="0"/>
          <w:numId w:val="7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These may be used upon approval of and as directed by </w:t>
      </w:r>
      <w:r w:rsidR="0038710F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the </w:t>
      </w: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Infection </w:t>
      </w:r>
      <w:r w:rsidR="0038710F">
        <w:rPr>
          <w:rFonts w:asciiTheme="minorHAnsi" w:hAnsiTheme="minorHAnsi" w:cstheme="minorHAnsi"/>
          <w:color w:val="44546A" w:themeColor="text2"/>
          <w:sz w:val="22"/>
          <w:szCs w:val="22"/>
        </w:rPr>
        <w:t>Prevention and Control program</w:t>
      </w: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.</w:t>
      </w:r>
    </w:p>
    <w:p w:rsidR="00742009" w:rsidRPr="007A3298" w:rsidRDefault="00742009" w:rsidP="0038710F">
      <w:pPr>
        <w:pStyle w:val="PlainText"/>
        <w:numPr>
          <w:ilvl w:val="0"/>
          <w:numId w:val="7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These products are to be supplied in individual use packaging, small bottles (8 </w:t>
      </w:r>
      <w:proofErr w:type="spellStart"/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oz</w:t>
      </w:r>
      <w:proofErr w:type="spellEnd"/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or less) or a disposable refill cartridge (including the dispenser tubing). </w:t>
      </w:r>
    </w:p>
    <w:p w:rsidR="00742009" w:rsidRPr="007A3298" w:rsidRDefault="00742009" w:rsidP="0038710F">
      <w:pPr>
        <w:pStyle w:val="PlainText"/>
        <w:numPr>
          <w:ilvl w:val="0"/>
          <w:numId w:val="7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See attachment regarding regulations for appropriate installation of gel dispensers and storage of product.</w:t>
      </w: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742009" w:rsidRPr="007A3298" w:rsidRDefault="00742009" w:rsidP="0038710F">
      <w:pPr>
        <w:pStyle w:val="PlainText"/>
        <w:tabs>
          <w:tab w:val="left" w:pos="720"/>
        </w:tabs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Gloves</w:t>
      </w:r>
    </w:p>
    <w:p w:rsidR="00742009" w:rsidRPr="007A3298" w:rsidRDefault="00742009" w:rsidP="0038710F">
      <w:pPr>
        <w:pStyle w:val="PlainText"/>
        <w:numPr>
          <w:ilvl w:val="0"/>
          <w:numId w:val="9"/>
        </w:numPr>
        <w:tabs>
          <w:tab w:val="left" w:pos="720"/>
        </w:tabs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Gloves will be worn as needed per standard precautions.</w:t>
      </w:r>
    </w:p>
    <w:p w:rsidR="00742009" w:rsidRPr="007A3298" w:rsidRDefault="00742009" w:rsidP="0038710F">
      <w:pPr>
        <w:pStyle w:val="PlainText"/>
        <w:numPr>
          <w:ilvl w:val="0"/>
          <w:numId w:val="9"/>
        </w:numPr>
        <w:tabs>
          <w:tab w:val="left" w:pos="720"/>
        </w:tabs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Gloves do not take the place of hand hygiene measures.</w:t>
      </w:r>
    </w:p>
    <w:p w:rsidR="00742009" w:rsidRPr="007A3298" w:rsidRDefault="00742009" w:rsidP="0038710F">
      <w:pPr>
        <w:pStyle w:val="PlainText"/>
        <w:numPr>
          <w:ilvl w:val="0"/>
          <w:numId w:val="9"/>
        </w:numPr>
        <w:tabs>
          <w:tab w:val="left" w:pos="1440"/>
        </w:tabs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Remove gloves after caring for a patient.  Do not wear the same pair of gloves for the care of more than one patient, and do not wash gloves between uses with different patients.</w:t>
      </w:r>
    </w:p>
    <w:p w:rsidR="00742009" w:rsidRPr="007A3298" w:rsidRDefault="00742009" w:rsidP="0038710F">
      <w:pPr>
        <w:pStyle w:val="PlainText"/>
        <w:numPr>
          <w:ilvl w:val="0"/>
          <w:numId w:val="9"/>
        </w:numPr>
        <w:tabs>
          <w:tab w:val="left" w:pos="1440"/>
        </w:tabs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Change gloves during patient care if moving from a contaminated body site to a clean body site.</w:t>
      </w:r>
    </w:p>
    <w:p w:rsidR="0038710F" w:rsidRDefault="00742009" w:rsidP="0038710F">
      <w:pPr>
        <w:pStyle w:val="PlainText"/>
        <w:ind w:left="720" w:hanging="720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</w:p>
    <w:p w:rsidR="00742009" w:rsidRPr="007A3298" w:rsidRDefault="00742009" w:rsidP="0038710F">
      <w:pPr>
        <w:pStyle w:val="PlainText"/>
        <w:ind w:left="720" w:hanging="720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Paper towel </w:t>
      </w:r>
      <w:r w:rsidR="0038710F">
        <w:rPr>
          <w:rFonts w:asciiTheme="minorHAnsi" w:hAnsiTheme="minorHAnsi" w:cstheme="minorHAnsi"/>
          <w:color w:val="44546A" w:themeColor="text2"/>
          <w:sz w:val="22"/>
          <w:szCs w:val="22"/>
        </w:rPr>
        <w:t>h</w:t>
      </w: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olders </w:t>
      </w:r>
    </w:p>
    <w:p w:rsidR="00742009" w:rsidRPr="007A3298" w:rsidRDefault="00742009" w:rsidP="0038710F">
      <w:pPr>
        <w:pStyle w:val="PlainText"/>
        <w:numPr>
          <w:ilvl w:val="0"/>
          <w:numId w:val="9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Holders are within easy reach of the sinks. </w:t>
      </w:r>
    </w:p>
    <w:p w:rsidR="00742009" w:rsidRPr="007A3298" w:rsidRDefault="00742009" w:rsidP="0038710F">
      <w:pPr>
        <w:pStyle w:val="PlainText"/>
        <w:numPr>
          <w:ilvl w:val="0"/>
          <w:numId w:val="9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Holders are not lever-operated. </w:t>
      </w:r>
    </w:p>
    <w:p w:rsidR="00742009" w:rsidRPr="007A3298" w:rsidRDefault="00742009" w:rsidP="0038710F">
      <w:pPr>
        <w:pStyle w:val="PlainText"/>
        <w:numPr>
          <w:ilvl w:val="0"/>
          <w:numId w:val="9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Holders dispense towels one at a time </w:t>
      </w: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Lotion </w:t>
      </w:r>
    </w:p>
    <w:p w:rsidR="00742009" w:rsidRPr="007A3298" w:rsidRDefault="00742009" w:rsidP="0038710F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The use of lotion is recommended following Hand washing and drying.  Hand Lotion must be contained in small (6-8 oz.) disposable dispensers.  Dispensers are not refilled.</w:t>
      </w: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38710F" w:rsidRDefault="00742009" w:rsidP="0038710F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Fingernails</w:t>
      </w:r>
    </w:p>
    <w:p w:rsidR="00742009" w:rsidRPr="007A3298" w:rsidRDefault="00742009" w:rsidP="0038710F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lastRenderedPageBreak/>
        <w:t>No artificial fingernails or extenders are allowed for personnel involved in direct patient care and/or the care of high-risk (e.g., immune-compromised) patients.  Natural nails are to be maintained at a short (1/4 inch or less) length.  If nail polish is worn, it must not be chipped or peeling.</w:t>
      </w: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Rings</w:t>
      </w:r>
    </w:p>
    <w:p w:rsidR="00742009" w:rsidRPr="007A3298" w:rsidRDefault="00742009" w:rsidP="0038710F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Hand jewelry should be kept to a minimum (e.g. wedding band) to enhance hand hygiene.</w:t>
      </w: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b/>
          <w:color w:val="44546A" w:themeColor="text2"/>
          <w:sz w:val="22"/>
          <w:szCs w:val="22"/>
        </w:rPr>
        <w:t xml:space="preserve">References: </w:t>
      </w:r>
    </w:p>
    <w:p w:rsidR="00742009" w:rsidRPr="007A3298" w:rsidRDefault="00742009" w:rsidP="0038710F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Guidelines for Environmental Infection Control in Healthcare Facilities (MMWR, June 6, 2003)</w:t>
      </w:r>
    </w:p>
    <w:p w:rsidR="00742009" w:rsidRPr="007A3298" w:rsidRDefault="00742009" w:rsidP="0038710F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Occupational Exposure to Bloodborne Pathogens" Occupational Safety and Health </w:t>
      </w:r>
      <w:proofErr w:type="gramStart"/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Standard  29CFR</w:t>
      </w:r>
      <w:proofErr w:type="gramEnd"/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1910.1030 Subpart</w:t>
      </w:r>
      <w:r w:rsidR="0038710F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Z. </w:t>
      </w:r>
    </w:p>
    <w:p w:rsidR="00742009" w:rsidRPr="007A3298" w:rsidRDefault="00742009" w:rsidP="0038710F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Guideline for Hand Hy</w:t>
      </w:r>
      <w:r w:rsidR="0038710F">
        <w:rPr>
          <w:rFonts w:asciiTheme="minorHAnsi" w:hAnsiTheme="minorHAnsi" w:cstheme="minorHAnsi"/>
          <w:color w:val="44546A" w:themeColor="text2"/>
          <w:sz w:val="22"/>
          <w:szCs w:val="22"/>
        </w:rPr>
        <w:t>giene in Health Care Settings.</w:t>
      </w: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Center for Disease Control and Prevention, (MMWR, October 25, 2002).</w:t>
      </w:r>
    </w:p>
    <w:p w:rsidR="00742009" w:rsidRPr="007A3298" w:rsidRDefault="00E00D00" w:rsidP="0038710F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NFPA 101 Life Safety Code, 2012. (2011). Quincy, MA: National Fire Protection Association.  </w:t>
      </w: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b/>
          <w:color w:val="44546A" w:themeColor="text2"/>
          <w:sz w:val="22"/>
          <w:szCs w:val="22"/>
          <w:u w:val="single"/>
        </w:rPr>
        <w:t>Staff Accountability</w:t>
      </w:r>
      <w:r w:rsidRPr="007A3298">
        <w:rPr>
          <w:rFonts w:asciiTheme="minorHAnsi" w:hAnsiTheme="minorHAnsi" w:cstheme="minorHAnsi"/>
          <w:b/>
          <w:color w:val="44546A" w:themeColor="text2"/>
          <w:sz w:val="22"/>
          <w:szCs w:val="22"/>
        </w:rPr>
        <w:t xml:space="preserve">: </w:t>
      </w:r>
    </w:p>
    <w:p w:rsidR="00742009" w:rsidRPr="007A3298" w:rsidRDefault="00742009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Medical Director, </w:t>
      </w:r>
      <w:r w:rsidR="007B671C"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Infection </w:t>
      </w:r>
      <w:r w:rsidR="0038710F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Prevention and </w:t>
      </w:r>
      <w:r w:rsidR="007B671C"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Control</w:t>
      </w:r>
      <w:r w:rsidR="0038710F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Program</w:t>
      </w:r>
    </w:p>
    <w:p w:rsidR="00742009" w:rsidRPr="007A3298" w:rsidRDefault="0038710F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>Infection Prevention and Control Program Manager/ Lead</w:t>
      </w:r>
    </w:p>
    <w:p w:rsidR="00742009" w:rsidRPr="007A3298" w:rsidRDefault="007B671C" w:rsidP="00742009">
      <w:pPr>
        <w:pStyle w:val="PlainText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7A3298">
        <w:rPr>
          <w:rFonts w:asciiTheme="minorHAnsi" w:hAnsiTheme="minorHAnsi" w:cstheme="minorHAnsi"/>
          <w:color w:val="44546A" w:themeColor="text2"/>
          <w:sz w:val="22"/>
          <w:szCs w:val="22"/>
        </w:rPr>
        <w:t>Lead, Safety</w:t>
      </w:r>
    </w:p>
    <w:p w:rsidR="00D3386B" w:rsidRPr="007A3298" w:rsidRDefault="00221016">
      <w:pPr>
        <w:rPr>
          <w:rFonts w:cstheme="minorHAnsi"/>
          <w:color w:val="44546A" w:themeColor="text2"/>
        </w:rPr>
      </w:pPr>
    </w:p>
    <w:sectPr w:rsidR="00D3386B" w:rsidRPr="007A32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A5E" w:rsidRDefault="002C3A5E" w:rsidP="00404430">
      <w:pPr>
        <w:spacing w:after="0" w:line="240" w:lineRule="auto"/>
      </w:pPr>
      <w:r>
        <w:separator/>
      </w:r>
    </w:p>
  </w:endnote>
  <w:endnote w:type="continuationSeparator" w:id="0">
    <w:p w:rsidR="002C3A5E" w:rsidRDefault="002C3A5E" w:rsidP="0040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30" w:rsidRPr="007A3298" w:rsidRDefault="007A3298" w:rsidP="007A3298">
    <w:pPr>
      <w:pStyle w:val="Footer"/>
      <w:jc w:val="right"/>
      <w:rPr>
        <w:color w:val="44546A" w:themeColor="text2"/>
      </w:rPr>
    </w:pPr>
    <w:r>
      <w:rPr>
        <w:color w:val="44546A" w:themeColor="text2"/>
      </w:rPr>
      <w:t>Nebraska ICAP Forms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A5E" w:rsidRDefault="002C3A5E" w:rsidP="00404430">
      <w:pPr>
        <w:spacing w:after="0" w:line="240" w:lineRule="auto"/>
      </w:pPr>
      <w:r>
        <w:separator/>
      </w:r>
    </w:p>
  </w:footnote>
  <w:footnote w:type="continuationSeparator" w:id="0">
    <w:p w:rsidR="002C3A5E" w:rsidRDefault="002C3A5E" w:rsidP="0040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30" w:rsidRPr="007A3298" w:rsidRDefault="00221016" w:rsidP="007A3298">
    <w:pPr>
      <w:pStyle w:val="Header"/>
      <w:jc w:val="right"/>
      <w:rPr>
        <w:color w:val="44546A" w:themeColor="text2"/>
      </w:rPr>
    </w:pPr>
    <w:sdt>
      <w:sdtPr>
        <w:id w:val="-58007019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7A3298" w:rsidRPr="007A3298">
      <w:rPr>
        <w:color w:val="44546A" w:themeColor="text2"/>
      </w:rPr>
      <w:t>[Facility Logo]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402"/>
    <w:multiLevelType w:val="hybridMultilevel"/>
    <w:tmpl w:val="35964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7255E"/>
    <w:multiLevelType w:val="hybridMultilevel"/>
    <w:tmpl w:val="D570B7EA"/>
    <w:lvl w:ilvl="0" w:tplc="CB4A6A8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836AD"/>
    <w:multiLevelType w:val="hybridMultilevel"/>
    <w:tmpl w:val="70D4E5F0"/>
    <w:lvl w:ilvl="0" w:tplc="0C52F24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2203B"/>
    <w:multiLevelType w:val="hybridMultilevel"/>
    <w:tmpl w:val="6A34ACE0"/>
    <w:lvl w:ilvl="0" w:tplc="CB4A6A8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87A8E"/>
    <w:multiLevelType w:val="hybridMultilevel"/>
    <w:tmpl w:val="C78A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75CC"/>
    <w:multiLevelType w:val="hybridMultilevel"/>
    <w:tmpl w:val="E3EC9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5206B"/>
    <w:multiLevelType w:val="hybridMultilevel"/>
    <w:tmpl w:val="C1EE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430F0"/>
    <w:multiLevelType w:val="hybridMultilevel"/>
    <w:tmpl w:val="602C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D5441"/>
    <w:multiLevelType w:val="hybridMultilevel"/>
    <w:tmpl w:val="F47CEC1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50039A4"/>
    <w:multiLevelType w:val="hybridMultilevel"/>
    <w:tmpl w:val="0F408F70"/>
    <w:lvl w:ilvl="0" w:tplc="FE20DB84">
      <w:start w:val="1"/>
      <w:numFmt w:val="upperLetter"/>
      <w:lvlText w:val="%1."/>
      <w:lvlJc w:val="left"/>
      <w:pPr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582FED"/>
    <w:multiLevelType w:val="hybridMultilevel"/>
    <w:tmpl w:val="7716E2CA"/>
    <w:lvl w:ilvl="0" w:tplc="C0B8EB3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746464"/>
    <w:multiLevelType w:val="hybridMultilevel"/>
    <w:tmpl w:val="EC9A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92A8A"/>
    <w:multiLevelType w:val="hybridMultilevel"/>
    <w:tmpl w:val="72CC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7776E"/>
    <w:multiLevelType w:val="hybridMultilevel"/>
    <w:tmpl w:val="2184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521C5"/>
    <w:multiLevelType w:val="hybridMultilevel"/>
    <w:tmpl w:val="5BC64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13"/>
  </w:num>
  <w:num w:numId="10">
    <w:abstractNumId w:val="9"/>
  </w:num>
  <w:num w:numId="11">
    <w:abstractNumId w:val="1"/>
  </w:num>
  <w:num w:numId="12">
    <w:abstractNumId w:val="0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09"/>
    <w:rsid w:val="00221016"/>
    <w:rsid w:val="0022151E"/>
    <w:rsid w:val="002C3A5E"/>
    <w:rsid w:val="00317012"/>
    <w:rsid w:val="0038710F"/>
    <w:rsid w:val="00404430"/>
    <w:rsid w:val="00461E9F"/>
    <w:rsid w:val="004B72BA"/>
    <w:rsid w:val="005316C6"/>
    <w:rsid w:val="00742009"/>
    <w:rsid w:val="007A3298"/>
    <w:rsid w:val="007B671C"/>
    <w:rsid w:val="00C70FBB"/>
    <w:rsid w:val="00CD5ED7"/>
    <w:rsid w:val="00CE1820"/>
    <w:rsid w:val="00DC04A2"/>
    <w:rsid w:val="00E0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EC86394-AF77-4729-B6C0-C293E239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2009"/>
    <w:rPr>
      <w:color w:val="0000FF"/>
      <w:u w:val="single"/>
    </w:rPr>
  </w:style>
  <w:style w:type="paragraph" w:styleId="PlainText">
    <w:name w:val="Plain Text"/>
    <w:basedOn w:val="Normal"/>
    <w:link w:val="PlainTextChar"/>
    <w:rsid w:val="0074200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4200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430"/>
  </w:style>
  <w:style w:type="paragraph" w:styleId="Footer">
    <w:name w:val="footer"/>
    <w:basedOn w:val="Normal"/>
    <w:link w:val="FooterChar"/>
    <w:uiPriority w:val="99"/>
    <w:unhideWhenUsed/>
    <w:rsid w:val="0040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Medicine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Sue</dc:creator>
  <cp:keywords/>
  <dc:description/>
  <cp:lastModifiedBy>Beach, Sue</cp:lastModifiedBy>
  <cp:revision>2</cp:revision>
  <dcterms:created xsi:type="dcterms:W3CDTF">2018-03-08T19:45:00Z</dcterms:created>
  <dcterms:modified xsi:type="dcterms:W3CDTF">2018-03-08T19:45:00Z</dcterms:modified>
</cp:coreProperties>
</file>