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5D89C" w14:textId="77777777" w:rsidR="000763CE" w:rsidRDefault="000763CE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546A" w:themeColor="text2"/>
          <w:sz w:val="28"/>
          <w:szCs w:val="28"/>
        </w:rPr>
      </w:pPr>
      <w:r w:rsidRPr="000763CE">
        <w:rPr>
          <w:rFonts w:cstheme="minorHAnsi"/>
          <w:b/>
          <w:bCs/>
          <w:color w:val="44546A" w:themeColor="text2"/>
          <w:sz w:val="28"/>
          <w:szCs w:val="28"/>
        </w:rPr>
        <w:t xml:space="preserve">Safe </w:t>
      </w:r>
      <w:r w:rsidRPr="00FB5B55">
        <w:rPr>
          <w:rFonts w:cstheme="minorHAnsi"/>
          <w:b/>
          <w:bCs/>
          <w:i/>
          <w:color w:val="44546A" w:themeColor="text2"/>
          <w:sz w:val="28"/>
          <w:szCs w:val="28"/>
        </w:rPr>
        <w:t>Injection, Infusion, and</w:t>
      </w:r>
      <w:r w:rsidRPr="000763CE">
        <w:rPr>
          <w:rFonts w:cstheme="minorHAnsi"/>
          <w:b/>
          <w:bCs/>
          <w:color w:val="44546A" w:themeColor="text2"/>
          <w:sz w:val="28"/>
          <w:szCs w:val="28"/>
        </w:rPr>
        <w:t xml:space="preserve"> Medication Vial Practices</w:t>
      </w:r>
      <w:r w:rsidR="000F5802">
        <w:rPr>
          <w:rFonts w:cstheme="minorHAnsi"/>
          <w:b/>
          <w:bCs/>
          <w:color w:val="44546A" w:themeColor="text2"/>
          <w:sz w:val="28"/>
          <w:szCs w:val="28"/>
        </w:rPr>
        <w:t xml:space="preserve"> Policy Template</w:t>
      </w:r>
    </w:p>
    <w:p w14:paraId="35138807" w14:textId="77777777" w:rsidR="000763CE" w:rsidRPr="000763CE" w:rsidRDefault="000763CE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546A" w:themeColor="text2"/>
          <w:sz w:val="28"/>
          <w:szCs w:val="28"/>
        </w:rPr>
      </w:pPr>
    </w:p>
    <w:p w14:paraId="49564697" w14:textId="77777777" w:rsidR="000763CE" w:rsidRPr="000763CE" w:rsidRDefault="000763CE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546A" w:themeColor="text2"/>
          <w:sz w:val="24"/>
          <w:szCs w:val="24"/>
        </w:rPr>
      </w:pPr>
      <w:r w:rsidRPr="000763CE">
        <w:rPr>
          <w:rFonts w:cstheme="minorHAnsi"/>
          <w:b/>
          <w:bCs/>
          <w:color w:val="44546A" w:themeColor="text2"/>
          <w:sz w:val="24"/>
          <w:szCs w:val="24"/>
        </w:rPr>
        <w:t>I. INTRODUCTION</w:t>
      </w:r>
    </w:p>
    <w:p w14:paraId="0DDEE4BA" w14:textId="77777777" w:rsidR="000763CE" w:rsidRDefault="000763CE" w:rsidP="000763C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44546A" w:themeColor="text2"/>
          <w:sz w:val="24"/>
          <w:szCs w:val="24"/>
          <w:vertAlign w:val="superscript"/>
        </w:rPr>
      </w:pPr>
      <w:r w:rsidRPr="000763CE">
        <w:rPr>
          <w:rFonts w:cstheme="minorHAnsi"/>
          <w:color w:val="44546A" w:themeColor="text2"/>
          <w:sz w:val="24"/>
          <w:szCs w:val="24"/>
        </w:rPr>
        <w:t>Bloodborne pathogen transmission must be prevented by adherence to basic principles of aseptic technique for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the preparation and administration of parenteral medications. Pathogens (e.g., Hepati</w:t>
      </w:r>
      <w:r>
        <w:rPr>
          <w:rFonts w:cstheme="minorHAnsi"/>
          <w:color w:val="44546A" w:themeColor="text2"/>
          <w:sz w:val="24"/>
          <w:szCs w:val="24"/>
        </w:rPr>
        <w:t xml:space="preserve">tis C virus, Hepatitis B virus, </w:t>
      </w:r>
      <w:r w:rsidRPr="000763CE">
        <w:rPr>
          <w:rFonts w:cstheme="minorHAnsi"/>
          <w:color w:val="44546A" w:themeColor="text2"/>
          <w:sz w:val="24"/>
          <w:szCs w:val="24"/>
        </w:rPr>
        <w:t>and HIV) can be present in sufficient quantities to produce infection in the absen</w:t>
      </w:r>
      <w:r>
        <w:rPr>
          <w:rFonts w:cstheme="minorHAnsi"/>
          <w:color w:val="44546A" w:themeColor="text2"/>
          <w:sz w:val="24"/>
          <w:szCs w:val="24"/>
        </w:rPr>
        <w:t xml:space="preserve">ce of visible blood. Similarly, </w:t>
      </w:r>
      <w:r w:rsidRPr="000763CE">
        <w:rPr>
          <w:rFonts w:cstheme="minorHAnsi"/>
          <w:color w:val="44546A" w:themeColor="text2"/>
          <w:sz w:val="24"/>
          <w:szCs w:val="24"/>
        </w:rPr>
        <w:t xml:space="preserve">bacteria and other microbes can be present without </w:t>
      </w:r>
      <w:r w:rsidR="00ED13A3">
        <w:rPr>
          <w:rFonts w:cstheme="minorHAnsi"/>
          <w:color w:val="44546A" w:themeColor="text2"/>
          <w:sz w:val="24"/>
          <w:szCs w:val="24"/>
        </w:rPr>
        <w:t>any</w:t>
      </w:r>
      <w:r w:rsidRPr="000763CE">
        <w:rPr>
          <w:rFonts w:cstheme="minorHAnsi"/>
          <w:color w:val="44546A" w:themeColor="text2"/>
          <w:sz w:val="24"/>
          <w:szCs w:val="24"/>
        </w:rPr>
        <w:t xml:space="preserve"> visible evidence of contamination. </w:t>
      </w:r>
      <w:r w:rsidRPr="000763CE">
        <w:rPr>
          <w:rFonts w:cstheme="minorHAnsi"/>
          <w:color w:val="44546A" w:themeColor="text2"/>
          <w:sz w:val="24"/>
          <w:szCs w:val="24"/>
          <w:vertAlign w:val="superscript"/>
        </w:rPr>
        <w:t>1</w:t>
      </w:r>
    </w:p>
    <w:p w14:paraId="3AF96D31" w14:textId="77777777" w:rsidR="000763CE" w:rsidRPr="000763CE" w:rsidRDefault="000763CE" w:rsidP="000763C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44546A" w:themeColor="text2"/>
          <w:sz w:val="24"/>
          <w:szCs w:val="24"/>
        </w:rPr>
      </w:pPr>
    </w:p>
    <w:p w14:paraId="0DDEBE6E" w14:textId="77777777" w:rsidR="000763CE" w:rsidRPr="000763CE" w:rsidRDefault="000763CE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546A" w:themeColor="text2"/>
          <w:sz w:val="24"/>
          <w:szCs w:val="24"/>
        </w:rPr>
      </w:pPr>
      <w:r w:rsidRPr="000763CE">
        <w:rPr>
          <w:rFonts w:cstheme="minorHAnsi"/>
          <w:b/>
          <w:bCs/>
          <w:color w:val="44546A" w:themeColor="text2"/>
          <w:sz w:val="24"/>
          <w:szCs w:val="24"/>
        </w:rPr>
        <w:t>II. Recommendations</w:t>
      </w:r>
    </w:p>
    <w:p w14:paraId="353C3C55" w14:textId="77777777" w:rsidR="000763CE" w:rsidRPr="000763CE" w:rsidRDefault="000763CE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0763CE">
        <w:rPr>
          <w:rFonts w:cstheme="minorHAnsi"/>
          <w:color w:val="44546A" w:themeColor="text2"/>
          <w:sz w:val="24"/>
          <w:szCs w:val="24"/>
        </w:rPr>
        <w:t>The following recommendations apply to the use of needles, cannulas that replace needles, vials (single and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multi</w:t>
      </w:r>
      <w:r>
        <w:rPr>
          <w:rFonts w:cstheme="minorHAnsi"/>
          <w:color w:val="44546A" w:themeColor="text2"/>
          <w:sz w:val="24"/>
          <w:szCs w:val="24"/>
        </w:rPr>
        <w:t>-</w:t>
      </w:r>
      <w:r w:rsidRPr="000763CE">
        <w:rPr>
          <w:rFonts w:cstheme="minorHAnsi"/>
          <w:color w:val="44546A" w:themeColor="text2"/>
          <w:sz w:val="24"/>
          <w:szCs w:val="24"/>
        </w:rPr>
        <w:t>dose), ampules and intravenous delivery systems.</w:t>
      </w:r>
    </w:p>
    <w:p w14:paraId="62E34F76" w14:textId="77777777" w:rsidR="000763CE" w:rsidRPr="000763CE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0763CE">
        <w:rPr>
          <w:rFonts w:cstheme="minorHAnsi"/>
          <w:color w:val="44546A" w:themeColor="text2"/>
          <w:sz w:val="24"/>
          <w:szCs w:val="24"/>
        </w:rPr>
        <w:t>To the greatest extent possible, provide adult IV push medications in a ready-to-administer form (to minimize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the need for manipulation outside of the ph</w:t>
      </w:r>
      <w:r w:rsidR="00B63992">
        <w:rPr>
          <w:rFonts w:cstheme="minorHAnsi"/>
          <w:color w:val="44546A" w:themeColor="text2"/>
          <w:sz w:val="24"/>
          <w:szCs w:val="24"/>
        </w:rPr>
        <w:t>armacy sterile compounding area)</w:t>
      </w:r>
      <w:r w:rsidR="00B63992" w:rsidRPr="00B63992">
        <w:rPr>
          <w:rFonts w:cstheme="minorHAnsi"/>
          <w:color w:val="44546A" w:themeColor="text2"/>
          <w:sz w:val="24"/>
          <w:szCs w:val="24"/>
          <w:vertAlign w:val="superscript"/>
        </w:rPr>
        <w:t>5</w:t>
      </w:r>
      <w:r w:rsidRPr="000763CE">
        <w:rPr>
          <w:rFonts w:cstheme="minorHAnsi"/>
          <w:color w:val="44546A" w:themeColor="text2"/>
          <w:sz w:val="24"/>
          <w:szCs w:val="24"/>
        </w:rPr>
        <w:t>.</w:t>
      </w:r>
    </w:p>
    <w:p w14:paraId="456C3FC1" w14:textId="77777777" w:rsidR="000763CE" w:rsidRPr="000763CE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0763CE">
        <w:rPr>
          <w:rFonts w:cstheme="minorHAnsi"/>
          <w:color w:val="44546A" w:themeColor="text2"/>
          <w:sz w:val="24"/>
          <w:szCs w:val="24"/>
        </w:rPr>
        <w:t>Use aseptic technique when preparing and administering IV push medications, flush/locking solutions, and other parenteral solutions administered by direct IV injection</w:t>
      </w:r>
      <w:r w:rsidR="00B63992">
        <w:rPr>
          <w:rFonts w:cstheme="minorHAnsi"/>
          <w:color w:val="44546A" w:themeColor="text2"/>
          <w:sz w:val="24"/>
          <w:szCs w:val="24"/>
          <w:vertAlign w:val="superscript"/>
        </w:rPr>
        <w:t>5</w:t>
      </w:r>
      <w:r w:rsidRPr="000763CE">
        <w:rPr>
          <w:rFonts w:cstheme="minorHAnsi"/>
          <w:color w:val="44546A" w:themeColor="text2"/>
          <w:sz w:val="24"/>
          <w:szCs w:val="24"/>
        </w:rPr>
        <w:t>. Aseptic technique includes</w:t>
      </w:r>
      <w:r>
        <w:rPr>
          <w:rFonts w:cstheme="minorHAnsi"/>
          <w:color w:val="44546A" w:themeColor="text2"/>
          <w:sz w:val="24"/>
          <w:szCs w:val="24"/>
        </w:rPr>
        <w:t>:</w:t>
      </w:r>
    </w:p>
    <w:p w14:paraId="64D69971" w14:textId="77777777" w:rsidR="000763CE" w:rsidRPr="000763CE" w:rsidRDefault="000763CE" w:rsidP="000763C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0763CE">
        <w:rPr>
          <w:rFonts w:cstheme="minorHAnsi"/>
          <w:color w:val="44546A" w:themeColor="text2"/>
          <w:sz w:val="24"/>
          <w:szCs w:val="24"/>
        </w:rPr>
        <w:t>Hand hygiene prior to and after preparation and administration of the medication or solution</w:t>
      </w:r>
      <w:r w:rsidR="00FE312A">
        <w:rPr>
          <w:rFonts w:cstheme="minorHAnsi"/>
          <w:color w:val="44546A" w:themeColor="text2"/>
          <w:sz w:val="24"/>
          <w:szCs w:val="24"/>
          <w:vertAlign w:val="superscript"/>
        </w:rPr>
        <w:t>5</w:t>
      </w:r>
      <w:r w:rsidRPr="000763CE">
        <w:rPr>
          <w:rFonts w:cstheme="minorHAnsi"/>
          <w:color w:val="44546A" w:themeColor="text2"/>
          <w:sz w:val="24"/>
          <w:szCs w:val="24"/>
        </w:rPr>
        <w:t>.</w:t>
      </w:r>
    </w:p>
    <w:p w14:paraId="17C96516" w14:textId="77777777" w:rsidR="000763CE" w:rsidRPr="000763CE" w:rsidRDefault="000763CE" w:rsidP="000763C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0763CE">
        <w:rPr>
          <w:rFonts w:cstheme="minorHAnsi"/>
          <w:color w:val="44546A" w:themeColor="text2"/>
          <w:sz w:val="24"/>
          <w:szCs w:val="24"/>
        </w:rPr>
        <w:t>Disinfection of the medication access diaphragm on a vial or the neck of an ampule prior to accessing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the medication or solution</w:t>
      </w:r>
      <w:r w:rsidR="00FE312A">
        <w:rPr>
          <w:rFonts w:cstheme="minorHAnsi"/>
          <w:color w:val="44546A" w:themeColor="text2"/>
          <w:sz w:val="24"/>
          <w:szCs w:val="24"/>
          <w:vertAlign w:val="superscript"/>
        </w:rPr>
        <w:t>5</w:t>
      </w:r>
      <w:r w:rsidRPr="000763CE">
        <w:rPr>
          <w:rFonts w:cstheme="minorHAnsi"/>
          <w:color w:val="44546A" w:themeColor="text2"/>
          <w:sz w:val="24"/>
          <w:szCs w:val="24"/>
        </w:rPr>
        <w:t>.</w:t>
      </w:r>
    </w:p>
    <w:p w14:paraId="2437B916" w14:textId="77777777" w:rsidR="00ED13A3" w:rsidRDefault="00ED13A3" w:rsidP="00ED13A3">
      <w:pPr>
        <w:autoSpaceDE w:val="0"/>
        <w:autoSpaceDN w:val="0"/>
        <w:adjustRightInd w:val="0"/>
        <w:spacing w:after="0" w:line="240" w:lineRule="auto"/>
        <w:ind w:left="1440" w:firstLine="360"/>
        <w:rPr>
          <w:rFonts w:cstheme="minorHAnsi"/>
          <w:color w:val="44546A" w:themeColor="text2"/>
          <w:sz w:val="24"/>
          <w:szCs w:val="24"/>
        </w:rPr>
      </w:pPr>
      <w:r>
        <w:rPr>
          <w:rFonts w:cstheme="minorHAnsi"/>
          <w:color w:val="44546A" w:themeColor="text2"/>
          <w:sz w:val="24"/>
          <w:szCs w:val="24"/>
        </w:rPr>
        <w:t xml:space="preserve">(NOTE: </w:t>
      </w:r>
      <w:r w:rsidR="000763CE" w:rsidRPr="00ED13A3">
        <w:rPr>
          <w:rFonts w:cstheme="minorHAnsi"/>
          <w:color w:val="44546A" w:themeColor="text2"/>
          <w:sz w:val="24"/>
          <w:szCs w:val="24"/>
        </w:rPr>
        <w:t>“Pop-off” vial caps from manufacturers are considered “dust covers”</w:t>
      </w:r>
    </w:p>
    <w:p w14:paraId="08C44E66" w14:textId="77777777" w:rsidR="00ED13A3" w:rsidRDefault="000763CE" w:rsidP="00ED13A3">
      <w:pPr>
        <w:autoSpaceDE w:val="0"/>
        <w:autoSpaceDN w:val="0"/>
        <w:adjustRightInd w:val="0"/>
        <w:spacing w:after="0" w:line="240" w:lineRule="auto"/>
        <w:ind w:left="1440" w:firstLine="360"/>
        <w:rPr>
          <w:rFonts w:cstheme="minorHAnsi"/>
          <w:color w:val="44546A" w:themeColor="text2"/>
          <w:sz w:val="24"/>
          <w:szCs w:val="24"/>
        </w:rPr>
      </w:pPr>
      <w:r w:rsidRPr="00ED13A3">
        <w:rPr>
          <w:rFonts w:cstheme="minorHAnsi"/>
          <w:color w:val="44546A" w:themeColor="text2"/>
          <w:sz w:val="24"/>
          <w:szCs w:val="24"/>
        </w:rPr>
        <w:t>and are not intended to maintain sterility of the vial diaphragm or access</w:t>
      </w:r>
    </w:p>
    <w:p w14:paraId="6E004484" w14:textId="77777777" w:rsidR="000763CE" w:rsidRPr="00ED13A3" w:rsidRDefault="000763CE" w:rsidP="00ED13A3">
      <w:pPr>
        <w:autoSpaceDE w:val="0"/>
        <w:autoSpaceDN w:val="0"/>
        <w:adjustRightInd w:val="0"/>
        <w:spacing w:after="0" w:line="240" w:lineRule="auto"/>
        <w:ind w:left="1440" w:firstLine="360"/>
        <w:rPr>
          <w:rFonts w:cstheme="minorHAnsi"/>
          <w:color w:val="44546A" w:themeColor="text2"/>
          <w:sz w:val="24"/>
          <w:szCs w:val="24"/>
        </w:rPr>
      </w:pPr>
      <w:r w:rsidRPr="00ED13A3">
        <w:rPr>
          <w:rFonts w:cstheme="minorHAnsi"/>
          <w:color w:val="44546A" w:themeColor="text2"/>
          <w:sz w:val="24"/>
          <w:szCs w:val="24"/>
        </w:rPr>
        <w:t>point</w:t>
      </w:r>
      <w:r w:rsidR="00FE312A">
        <w:rPr>
          <w:rFonts w:cstheme="minorHAnsi"/>
          <w:color w:val="44546A" w:themeColor="text2"/>
          <w:sz w:val="24"/>
          <w:szCs w:val="24"/>
          <w:vertAlign w:val="superscript"/>
        </w:rPr>
        <w:t>5</w:t>
      </w:r>
      <w:r w:rsidR="00ED13A3">
        <w:rPr>
          <w:rFonts w:cstheme="minorHAnsi"/>
          <w:color w:val="44546A" w:themeColor="text2"/>
          <w:sz w:val="24"/>
          <w:szCs w:val="24"/>
        </w:rPr>
        <w:t>)</w:t>
      </w:r>
    </w:p>
    <w:p w14:paraId="1B517544" w14:textId="77777777" w:rsidR="000763CE" w:rsidRPr="000763CE" w:rsidRDefault="000763CE" w:rsidP="000763C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0763CE">
        <w:rPr>
          <w:rFonts w:cstheme="minorHAnsi"/>
          <w:color w:val="44546A" w:themeColor="text2"/>
          <w:sz w:val="24"/>
          <w:szCs w:val="24"/>
        </w:rPr>
        <w:t>Disinfection of the IV access port, needleless connector, or other vascular access device prior to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administration of the medication or solution</w:t>
      </w:r>
      <w:r w:rsidR="00FE312A">
        <w:rPr>
          <w:rFonts w:cstheme="minorHAnsi"/>
          <w:color w:val="44546A" w:themeColor="text2"/>
          <w:sz w:val="24"/>
          <w:szCs w:val="24"/>
          <w:vertAlign w:val="superscript"/>
        </w:rPr>
        <w:t>5</w:t>
      </w:r>
      <w:r w:rsidRPr="000763CE">
        <w:rPr>
          <w:rFonts w:cstheme="minorHAnsi"/>
          <w:color w:val="44546A" w:themeColor="text2"/>
          <w:sz w:val="24"/>
          <w:szCs w:val="24"/>
        </w:rPr>
        <w:t>.</w:t>
      </w:r>
    </w:p>
    <w:p w14:paraId="1F0C682E" w14:textId="77777777" w:rsidR="000763CE" w:rsidRPr="000763CE" w:rsidRDefault="000763CE" w:rsidP="000763C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0763CE">
        <w:rPr>
          <w:rFonts w:cstheme="minorHAnsi"/>
          <w:color w:val="44546A" w:themeColor="text2"/>
          <w:sz w:val="24"/>
          <w:szCs w:val="24"/>
        </w:rPr>
        <w:t>The use of personal protective equipment if contact and exposure to blood or bodily fluids are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possible when administering the medication or slution</w:t>
      </w:r>
      <w:r w:rsidR="00FE312A">
        <w:rPr>
          <w:rFonts w:cstheme="minorHAnsi"/>
          <w:color w:val="44546A" w:themeColor="text2"/>
          <w:sz w:val="24"/>
          <w:szCs w:val="24"/>
          <w:vertAlign w:val="superscript"/>
        </w:rPr>
        <w:t>5</w:t>
      </w:r>
      <w:r w:rsidRPr="000763CE">
        <w:rPr>
          <w:rFonts w:cstheme="minorHAnsi"/>
          <w:color w:val="44546A" w:themeColor="text2"/>
          <w:sz w:val="24"/>
          <w:szCs w:val="24"/>
        </w:rPr>
        <w:t>.</w:t>
      </w:r>
    </w:p>
    <w:p w14:paraId="3A056236" w14:textId="77777777" w:rsidR="000763CE" w:rsidRPr="000763CE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0763CE">
        <w:rPr>
          <w:rFonts w:cstheme="minorHAnsi"/>
          <w:color w:val="44546A" w:themeColor="text2"/>
          <w:sz w:val="24"/>
          <w:szCs w:val="24"/>
        </w:rPr>
        <w:t>Prepare parenteral medications as close as possible</w:t>
      </w:r>
      <w:r w:rsidR="00BB715F">
        <w:rPr>
          <w:rFonts w:cstheme="minorHAnsi"/>
          <w:color w:val="44546A" w:themeColor="text2"/>
          <w:sz w:val="24"/>
          <w:szCs w:val="24"/>
        </w:rPr>
        <w:t xml:space="preserve"> to the time of administration, and administer within one hour after the start of the preparation</w:t>
      </w:r>
      <w:r w:rsidR="00C05386">
        <w:rPr>
          <w:rFonts w:cstheme="minorHAnsi"/>
          <w:color w:val="44546A" w:themeColor="text2"/>
          <w:sz w:val="24"/>
          <w:szCs w:val="24"/>
          <w:vertAlign w:val="superscript"/>
        </w:rPr>
        <w:t>6</w:t>
      </w:r>
      <w:r w:rsidR="00BB715F">
        <w:rPr>
          <w:rFonts w:cstheme="minorHAnsi"/>
          <w:color w:val="44546A" w:themeColor="text2"/>
          <w:sz w:val="24"/>
          <w:szCs w:val="24"/>
        </w:rPr>
        <w:t>.</w:t>
      </w:r>
    </w:p>
    <w:p w14:paraId="7B957F9D" w14:textId="77777777" w:rsidR="000763CE" w:rsidRPr="000763CE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0763CE">
        <w:rPr>
          <w:rFonts w:cstheme="minorHAnsi"/>
          <w:color w:val="44546A" w:themeColor="text2"/>
          <w:sz w:val="24"/>
          <w:szCs w:val="24"/>
        </w:rPr>
        <w:t>Do not administer medication from a syringe to multiple patients, even if the needle or cannula on the syringe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is changed. Needles, cannulae and syringes are sterile, single use items; they should not be reused for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another patient or to access a medication or solution that might be used for a subsequent patient</w:t>
      </w:r>
      <w:r w:rsidRPr="000763CE">
        <w:rPr>
          <w:rFonts w:cstheme="minorHAnsi"/>
          <w:color w:val="44546A" w:themeColor="text2"/>
          <w:sz w:val="24"/>
          <w:szCs w:val="24"/>
          <w:vertAlign w:val="superscript"/>
        </w:rPr>
        <w:t>2</w:t>
      </w:r>
      <w:r w:rsidRPr="000763CE">
        <w:rPr>
          <w:rFonts w:cstheme="minorHAnsi"/>
          <w:color w:val="44546A" w:themeColor="text2"/>
          <w:sz w:val="24"/>
          <w:szCs w:val="24"/>
        </w:rPr>
        <w:t>.</w:t>
      </w:r>
    </w:p>
    <w:p w14:paraId="314DAD9C" w14:textId="77777777" w:rsidR="000763CE" w:rsidRPr="000763CE" w:rsidRDefault="000763CE" w:rsidP="000763CE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44546A" w:themeColor="text2"/>
          <w:sz w:val="24"/>
          <w:szCs w:val="24"/>
        </w:rPr>
      </w:pPr>
      <w:r w:rsidRPr="000763CE">
        <w:rPr>
          <w:rFonts w:cstheme="minorHAnsi"/>
          <w:color w:val="44546A" w:themeColor="text2"/>
          <w:sz w:val="24"/>
          <w:szCs w:val="24"/>
        </w:rPr>
        <w:t>NOTE: While repeated dosing from a syringe to a single patient is permissib</w:t>
      </w:r>
      <w:r>
        <w:rPr>
          <w:rFonts w:cstheme="minorHAnsi"/>
          <w:color w:val="44546A" w:themeColor="text2"/>
          <w:sz w:val="24"/>
          <w:szCs w:val="24"/>
        </w:rPr>
        <w:t xml:space="preserve">le in certain situations (e.g., </w:t>
      </w:r>
      <w:r w:rsidRPr="000763CE">
        <w:rPr>
          <w:rFonts w:cstheme="minorHAnsi"/>
          <w:color w:val="44546A" w:themeColor="text2"/>
          <w:sz w:val="24"/>
          <w:szCs w:val="24"/>
        </w:rPr>
        <w:t>sedation, intubation), care must be taken to prevent contamination of the</w:t>
      </w:r>
      <w:r>
        <w:rPr>
          <w:rFonts w:cstheme="minorHAnsi"/>
          <w:color w:val="44546A" w:themeColor="text2"/>
          <w:sz w:val="24"/>
          <w:szCs w:val="24"/>
        </w:rPr>
        <w:t xml:space="preserve"> needle/cannula/syringe. Re-use of the </w:t>
      </w:r>
      <w:r w:rsidRPr="000763CE">
        <w:rPr>
          <w:rFonts w:cstheme="minorHAnsi"/>
          <w:color w:val="44546A" w:themeColor="text2"/>
          <w:sz w:val="24"/>
          <w:szCs w:val="24"/>
        </w:rPr>
        <w:t>syringe/cannula/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needle to enter into a common source supply for multiple patients is prohibited.</w:t>
      </w:r>
    </w:p>
    <w:p w14:paraId="0C0A1204" w14:textId="77777777" w:rsidR="000763CE" w:rsidRPr="000763CE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0763CE">
        <w:rPr>
          <w:rFonts w:cstheme="minorHAnsi"/>
          <w:color w:val="44546A" w:themeColor="text2"/>
          <w:sz w:val="24"/>
          <w:szCs w:val="24"/>
        </w:rPr>
        <w:t>The Pharmacy uses common source supplies for multiple patients during medication preparation in the IV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room, including the use of spike devices for vials and bags. This is permitted under strict regulation and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oversight as dictated by USP 797 (i.e., use of aseptic technique in a laminar flow hood).</w:t>
      </w:r>
    </w:p>
    <w:p w14:paraId="7961DCD8" w14:textId="77777777" w:rsidR="00B55F8C" w:rsidRDefault="000763CE" w:rsidP="00B55F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B55F8C">
        <w:rPr>
          <w:rFonts w:cstheme="minorHAnsi"/>
          <w:color w:val="44546A" w:themeColor="text2"/>
          <w:sz w:val="24"/>
          <w:szCs w:val="24"/>
        </w:rPr>
        <w:t>Use fluid infusion and administration sets (i.e., intravenous bags, tubing, and connectors) for one patient only and dispose appropriately after use. A syringe or needle/cannula is contaminated once it has been used to enter or connect to a patient’s intravenous infusion bag or administration set</w:t>
      </w:r>
      <w:r w:rsidRPr="00B55F8C">
        <w:rPr>
          <w:rFonts w:cstheme="minorHAnsi"/>
          <w:color w:val="44546A" w:themeColor="text2"/>
          <w:sz w:val="24"/>
          <w:szCs w:val="24"/>
          <w:vertAlign w:val="superscript"/>
        </w:rPr>
        <w:t>2</w:t>
      </w:r>
      <w:r w:rsidRPr="00B55F8C">
        <w:rPr>
          <w:rFonts w:cstheme="minorHAnsi"/>
          <w:color w:val="44546A" w:themeColor="text2"/>
          <w:sz w:val="24"/>
          <w:szCs w:val="24"/>
        </w:rPr>
        <w:t>, and should not re-enter a</w:t>
      </w:r>
      <w:r w:rsidR="00B55F8C">
        <w:rPr>
          <w:rFonts w:cstheme="minorHAnsi"/>
          <w:color w:val="44546A" w:themeColor="text2"/>
          <w:sz w:val="24"/>
          <w:szCs w:val="24"/>
        </w:rPr>
        <w:t xml:space="preserve"> </w:t>
      </w:r>
      <w:r w:rsidRPr="00B55F8C">
        <w:rPr>
          <w:rFonts w:cstheme="minorHAnsi"/>
          <w:color w:val="44546A" w:themeColor="text2"/>
          <w:sz w:val="24"/>
          <w:szCs w:val="24"/>
        </w:rPr>
        <w:t>common source vial.</w:t>
      </w:r>
    </w:p>
    <w:p w14:paraId="3A624FEB" w14:textId="77777777" w:rsidR="00B55F8C" w:rsidRDefault="000763CE" w:rsidP="00B55F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B55F8C">
        <w:rPr>
          <w:rFonts w:cstheme="minorHAnsi"/>
          <w:color w:val="44546A" w:themeColor="text2"/>
          <w:sz w:val="24"/>
          <w:szCs w:val="24"/>
        </w:rPr>
        <w:t>Use single-dose vials for parenteral medications whenever possible</w:t>
      </w:r>
      <w:r w:rsidRPr="00B55F8C">
        <w:rPr>
          <w:rFonts w:cstheme="minorHAnsi"/>
          <w:color w:val="44546A" w:themeColor="text2"/>
          <w:sz w:val="24"/>
          <w:szCs w:val="24"/>
          <w:vertAlign w:val="superscript"/>
        </w:rPr>
        <w:t>2</w:t>
      </w:r>
      <w:r w:rsidRPr="00B55F8C">
        <w:rPr>
          <w:rFonts w:cstheme="minorHAnsi"/>
          <w:color w:val="44546A" w:themeColor="text2"/>
          <w:sz w:val="24"/>
          <w:szCs w:val="24"/>
        </w:rPr>
        <w:t>.</w:t>
      </w:r>
    </w:p>
    <w:p w14:paraId="68A0B12D" w14:textId="77777777" w:rsidR="00B55F8C" w:rsidRDefault="000763CE" w:rsidP="00B55F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B55F8C">
        <w:rPr>
          <w:rFonts w:cstheme="minorHAnsi"/>
          <w:color w:val="44546A" w:themeColor="text2"/>
          <w:sz w:val="24"/>
          <w:szCs w:val="24"/>
        </w:rPr>
        <w:t>Do not administer medications from single-dose vials or ampules to multiple patients or combine leftover</w:t>
      </w:r>
      <w:r w:rsidR="00B55F8C">
        <w:rPr>
          <w:rFonts w:cstheme="minorHAnsi"/>
          <w:color w:val="44546A" w:themeColor="text2"/>
          <w:sz w:val="24"/>
          <w:szCs w:val="24"/>
        </w:rPr>
        <w:t xml:space="preserve"> </w:t>
      </w:r>
      <w:r w:rsidRPr="00B55F8C">
        <w:rPr>
          <w:rFonts w:cstheme="minorHAnsi"/>
          <w:color w:val="44546A" w:themeColor="text2"/>
          <w:sz w:val="24"/>
          <w:szCs w:val="24"/>
        </w:rPr>
        <w:t>contents for later use</w:t>
      </w:r>
      <w:r w:rsidRPr="00B55F8C">
        <w:rPr>
          <w:rFonts w:cstheme="minorHAnsi"/>
          <w:color w:val="44546A" w:themeColor="text2"/>
          <w:sz w:val="24"/>
          <w:szCs w:val="24"/>
          <w:vertAlign w:val="superscript"/>
        </w:rPr>
        <w:t>2</w:t>
      </w:r>
      <w:r w:rsidRPr="00B55F8C">
        <w:rPr>
          <w:rFonts w:cstheme="minorHAnsi"/>
          <w:color w:val="44546A" w:themeColor="text2"/>
          <w:sz w:val="24"/>
          <w:szCs w:val="24"/>
        </w:rPr>
        <w:t>.</w:t>
      </w:r>
    </w:p>
    <w:p w14:paraId="77B9FE22" w14:textId="77777777" w:rsidR="00B55F8C" w:rsidRPr="00B55F8C" w:rsidRDefault="00B55F8C" w:rsidP="00B55F8C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cstheme="minorHAnsi"/>
          <w:color w:val="44546A" w:themeColor="text2"/>
          <w:sz w:val="24"/>
          <w:szCs w:val="24"/>
        </w:rPr>
      </w:pPr>
      <w:r w:rsidRPr="00B55F8C">
        <w:rPr>
          <w:rFonts w:cstheme="minorHAnsi"/>
          <w:color w:val="44546A" w:themeColor="text2"/>
          <w:sz w:val="24"/>
          <w:szCs w:val="24"/>
        </w:rPr>
        <w:t>Note: A single dose vial should only be used for one patient and any remaining contents should be discarded.</w:t>
      </w:r>
      <w:r w:rsidR="00C05386">
        <w:rPr>
          <w:rFonts w:cstheme="minorHAnsi"/>
          <w:color w:val="44546A" w:themeColor="text2"/>
          <w:sz w:val="24"/>
          <w:szCs w:val="24"/>
          <w:vertAlign w:val="superscript"/>
        </w:rPr>
        <w:t>4</w:t>
      </w:r>
    </w:p>
    <w:p w14:paraId="3557690B" w14:textId="77777777" w:rsidR="00B55F8C" w:rsidRDefault="00B55F8C" w:rsidP="00B55F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>
        <w:rPr>
          <w:rFonts w:cstheme="minorHAnsi"/>
          <w:color w:val="44546A" w:themeColor="text2"/>
          <w:sz w:val="24"/>
          <w:szCs w:val="24"/>
        </w:rPr>
        <w:t>If multidose vials must be used, both the needle or cannula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and syringe used to access the vial must be sterile</w:t>
      </w:r>
      <w:r w:rsidR="002B2576" w:rsidRPr="002B2576">
        <w:rPr>
          <w:rFonts w:cstheme="minorHAnsi"/>
          <w:color w:val="44546A" w:themeColor="text2"/>
          <w:sz w:val="24"/>
          <w:szCs w:val="24"/>
          <w:vertAlign w:val="superscript"/>
        </w:rPr>
        <w:t>2</w:t>
      </w:r>
      <w:r w:rsidR="002B2576">
        <w:rPr>
          <w:rFonts w:cstheme="minorHAnsi"/>
          <w:color w:val="44546A" w:themeColor="text2"/>
          <w:sz w:val="24"/>
          <w:szCs w:val="24"/>
        </w:rPr>
        <w:t>.</w:t>
      </w:r>
    </w:p>
    <w:p w14:paraId="7565AD39" w14:textId="77777777" w:rsidR="000763CE" w:rsidRDefault="000763CE" w:rsidP="002B25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>In the rare instance where multi-dose vials are used for multiple patient use (i.e., vaccines, skin test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anti</w:t>
      </w:r>
      <w:r w:rsidRPr="000763CE">
        <w:rPr>
          <w:rFonts w:cstheme="minorHAnsi"/>
          <w:color w:val="44546A" w:themeColor="text2"/>
          <w:sz w:val="24"/>
          <w:szCs w:val="24"/>
        </w:rPr>
        <w:t>gens), the medication should be stored and prepared away f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rom the patient care environment </w:t>
      </w:r>
      <w:r w:rsidRPr="000763CE">
        <w:rPr>
          <w:rFonts w:cstheme="minorHAnsi"/>
          <w:color w:val="44546A" w:themeColor="text2"/>
          <w:sz w:val="24"/>
          <w:szCs w:val="24"/>
        </w:rPr>
        <w:t>(i.e., not at the bedside).</w:t>
      </w:r>
    </w:p>
    <w:p w14:paraId="58B368EE" w14:textId="77777777" w:rsidR="002B2576" w:rsidRPr="002B2576" w:rsidRDefault="002B2576" w:rsidP="002B25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>For common source supplies for multiple patients, do not leave a needle, cannula, or spike device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2B2576">
        <w:rPr>
          <w:rFonts w:cstheme="minorHAnsi"/>
          <w:color w:val="44546A" w:themeColor="text2"/>
          <w:sz w:val="24"/>
          <w:szCs w:val="24"/>
        </w:rPr>
        <w:t>(even if it has a one-way valve) inserted into a medication vial rubber stopper because it renders the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2B2576">
        <w:rPr>
          <w:rFonts w:cstheme="minorHAnsi"/>
          <w:color w:val="44546A" w:themeColor="text2"/>
          <w:sz w:val="24"/>
          <w:szCs w:val="24"/>
        </w:rPr>
        <w:t>vial vulnerable to contamination</w:t>
      </w:r>
      <w:r w:rsidRPr="002B2576">
        <w:rPr>
          <w:rFonts w:cstheme="minorHAnsi"/>
          <w:color w:val="44546A" w:themeColor="text2"/>
          <w:sz w:val="24"/>
          <w:szCs w:val="24"/>
          <w:vertAlign w:val="superscript"/>
        </w:rPr>
        <w:t>3</w:t>
      </w:r>
      <w:r w:rsidRPr="002B2576">
        <w:rPr>
          <w:rFonts w:cstheme="minorHAnsi"/>
          <w:color w:val="44546A" w:themeColor="text2"/>
          <w:sz w:val="24"/>
          <w:szCs w:val="24"/>
        </w:rPr>
        <w:t>. Multidose vial adapters are prohibited for use on common source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2B2576">
        <w:rPr>
          <w:rFonts w:cstheme="minorHAnsi"/>
          <w:color w:val="44546A" w:themeColor="text2"/>
          <w:sz w:val="24"/>
          <w:szCs w:val="24"/>
        </w:rPr>
        <w:t>supplies for multiple patients.</w:t>
      </w:r>
    </w:p>
    <w:p w14:paraId="75CD4ACC" w14:textId="77777777" w:rsidR="000763CE" w:rsidRDefault="000763CE" w:rsidP="000763C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>Vaccine preparation is permitted using multi-dose vials for multiple patients, by trained personnel, in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</w:t>
      </w:r>
      <w:r w:rsidRPr="002B2576">
        <w:rPr>
          <w:rFonts w:cstheme="minorHAnsi"/>
          <w:color w:val="44546A" w:themeColor="text2"/>
          <w:sz w:val="24"/>
          <w:szCs w:val="24"/>
        </w:rPr>
        <w:t>compliance with the guidelines in this policy. The CDC regulations regarding the use, storage, and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</w:t>
      </w:r>
      <w:r w:rsidRPr="002B2576">
        <w:rPr>
          <w:rFonts w:cstheme="minorHAnsi"/>
          <w:color w:val="44546A" w:themeColor="text2"/>
          <w:sz w:val="24"/>
          <w:szCs w:val="24"/>
        </w:rPr>
        <w:t>handling of vaccines shall be strictly adhered to, and are available at: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</w:t>
      </w:r>
      <w:hyperlink r:id="rId7" w:history="1">
        <w:r w:rsidR="002B2576" w:rsidRPr="00253AFA">
          <w:rPr>
            <w:rStyle w:val="Hyperlink"/>
            <w:rFonts w:cstheme="minorHAnsi"/>
            <w:sz w:val="24"/>
            <w:szCs w:val="24"/>
          </w:rPr>
          <w:t>http://www.cdc.gov/vaccines/recs/storage/default.htm</w:t>
        </w:r>
      </w:hyperlink>
      <w:r w:rsidRPr="002B2576">
        <w:rPr>
          <w:rFonts w:cstheme="minorHAnsi"/>
          <w:color w:val="44546A" w:themeColor="text2"/>
          <w:sz w:val="24"/>
          <w:szCs w:val="24"/>
        </w:rPr>
        <w:t>.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</w:t>
      </w:r>
    </w:p>
    <w:p w14:paraId="5FBB7A3B" w14:textId="77777777" w:rsidR="00235D34" w:rsidRPr="00235D34" w:rsidRDefault="00235D34" w:rsidP="00235D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B55F8C">
        <w:rPr>
          <w:rFonts w:cstheme="minorHAnsi"/>
          <w:color w:val="44546A" w:themeColor="text2"/>
          <w:sz w:val="24"/>
          <w:szCs w:val="24"/>
        </w:rPr>
        <w:t>The use of multi-dose vials (of medication) should be assigned to a single patient and access all vials using a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Pr="00B55F8C">
        <w:rPr>
          <w:rFonts w:cstheme="minorHAnsi"/>
          <w:color w:val="44546A" w:themeColor="text2"/>
          <w:sz w:val="24"/>
          <w:szCs w:val="24"/>
        </w:rPr>
        <w:t>new, sterile syringe and new needle/cannula adhering to aseptic technique</w:t>
      </w:r>
      <w:r w:rsidRPr="00B55F8C">
        <w:rPr>
          <w:rFonts w:cstheme="minorHAnsi"/>
          <w:color w:val="44546A" w:themeColor="text2"/>
          <w:sz w:val="24"/>
          <w:szCs w:val="24"/>
          <w:vertAlign w:val="superscript"/>
        </w:rPr>
        <w:t>3</w:t>
      </w:r>
      <w:r>
        <w:rPr>
          <w:rFonts w:cstheme="minorHAnsi"/>
          <w:color w:val="44546A" w:themeColor="text2"/>
          <w:sz w:val="24"/>
          <w:szCs w:val="24"/>
        </w:rPr>
        <w:t>.</w:t>
      </w:r>
    </w:p>
    <w:p w14:paraId="364D08AB" w14:textId="77777777" w:rsidR="002B2576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>NEVER use IV solutions in containers intended for infusion, including mini-bags, as common source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</w:t>
      </w:r>
      <w:r w:rsidRPr="002B2576">
        <w:rPr>
          <w:rFonts w:cstheme="minorHAnsi"/>
          <w:color w:val="44546A" w:themeColor="text2"/>
          <w:sz w:val="24"/>
          <w:szCs w:val="24"/>
        </w:rPr>
        <w:t>containers (multi-dose product) to prepare IV flush syringes or to dilute or reconstitute medications for one or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</w:t>
      </w:r>
      <w:r w:rsidRPr="002B2576">
        <w:rPr>
          <w:rFonts w:cstheme="minorHAnsi"/>
          <w:color w:val="44546A" w:themeColor="text2"/>
          <w:sz w:val="24"/>
          <w:szCs w:val="24"/>
        </w:rPr>
        <w:t>more patients in clinical care areas</w:t>
      </w:r>
      <w:r w:rsidR="00FE312A">
        <w:rPr>
          <w:rFonts w:cstheme="minorHAnsi"/>
          <w:color w:val="44546A" w:themeColor="text2"/>
          <w:sz w:val="24"/>
          <w:szCs w:val="24"/>
          <w:vertAlign w:val="superscript"/>
        </w:rPr>
        <w:t>5</w:t>
      </w:r>
      <w:r w:rsidRPr="002B2576">
        <w:rPr>
          <w:rFonts w:cstheme="minorHAnsi"/>
          <w:color w:val="44546A" w:themeColor="text2"/>
          <w:sz w:val="24"/>
          <w:szCs w:val="24"/>
        </w:rPr>
        <w:t>.</w:t>
      </w:r>
    </w:p>
    <w:p w14:paraId="44525CCA" w14:textId="77777777" w:rsidR="002B2576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>Inspect vials and discard if sterility has been c</w:t>
      </w:r>
      <w:r w:rsidR="002B2576">
        <w:rPr>
          <w:rFonts w:cstheme="minorHAnsi"/>
          <w:color w:val="44546A" w:themeColor="text2"/>
          <w:sz w:val="24"/>
          <w:szCs w:val="24"/>
        </w:rPr>
        <w:t>ompromised (known or suspected)</w:t>
      </w:r>
      <w:r w:rsidRPr="002B2576">
        <w:rPr>
          <w:rFonts w:cstheme="minorHAnsi"/>
          <w:color w:val="44546A" w:themeColor="text2"/>
          <w:sz w:val="24"/>
          <w:szCs w:val="24"/>
          <w:vertAlign w:val="superscript"/>
        </w:rPr>
        <w:t>3</w:t>
      </w:r>
      <w:r w:rsidRPr="002B2576">
        <w:rPr>
          <w:rFonts w:cstheme="minorHAnsi"/>
          <w:color w:val="44546A" w:themeColor="text2"/>
          <w:sz w:val="24"/>
          <w:szCs w:val="24"/>
        </w:rPr>
        <w:t>.</w:t>
      </w:r>
    </w:p>
    <w:p w14:paraId="26BE94F7" w14:textId="77777777" w:rsidR="002B2576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 xml:space="preserve">Cleanse the access diaphragm of vials using friction and </w:t>
      </w:r>
      <w:r w:rsidR="001015A8">
        <w:rPr>
          <w:rFonts w:cstheme="minorHAnsi"/>
          <w:color w:val="44546A" w:themeColor="text2"/>
          <w:sz w:val="24"/>
          <w:szCs w:val="24"/>
        </w:rPr>
        <w:t>recommended solution as recommended by the manufacturer’s instructions for use</w:t>
      </w:r>
      <w:r w:rsidR="00C05386">
        <w:rPr>
          <w:rFonts w:cstheme="minorHAnsi"/>
          <w:color w:val="44546A" w:themeColor="text2"/>
          <w:sz w:val="24"/>
          <w:szCs w:val="24"/>
          <w:vertAlign w:val="superscript"/>
        </w:rPr>
        <w:t>3</w:t>
      </w:r>
      <w:r w:rsidR="001015A8">
        <w:rPr>
          <w:rFonts w:cstheme="minorHAnsi"/>
          <w:color w:val="44546A" w:themeColor="text2"/>
          <w:sz w:val="24"/>
          <w:szCs w:val="24"/>
        </w:rPr>
        <w:t>.</w:t>
      </w:r>
    </w:p>
    <w:p w14:paraId="78658A90" w14:textId="77777777" w:rsidR="002B2576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>Do not store needles and syringes unwrapped beca</w:t>
      </w:r>
      <w:r w:rsidR="00FE312A">
        <w:rPr>
          <w:rFonts w:cstheme="minorHAnsi"/>
          <w:color w:val="44546A" w:themeColor="text2"/>
          <w:sz w:val="24"/>
          <w:szCs w:val="24"/>
        </w:rPr>
        <w:t>use sterility cannot be ensured</w:t>
      </w:r>
      <w:r w:rsidR="00FE312A">
        <w:rPr>
          <w:rFonts w:cstheme="minorHAnsi"/>
          <w:color w:val="44546A" w:themeColor="text2"/>
          <w:sz w:val="24"/>
          <w:szCs w:val="24"/>
          <w:vertAlign w:val="superscript"/>
        </w:rPr>
        <w:t>3</w:t>
      </w:r>
      <w:r w:rsidRPr="002B2576">
        <w:rPr>
          <w:rFonts w:cstheme="minorHAnsi"/>
          <w:color w:val="44546A" w:themeColor="text2"/>
          <w:sz w:val="24"/>
          <w:szCs w:val="24"/>
        </w:rPr>
        <w:t>.</w:t>
      </w:r>
    </w:p>
    <w:p w14:paraId="6A81B769" w14:textId="77777777" w:rsidR="002B2576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>Discard all opened vials, IV solutions, and prepared or opened syringes that were in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volved in an emergency </w:t>
      </w:r>
      <w:r w:rsidRPr="002B2576">
        <w:rPr>
          <w:rFonts w:cstheme="minorHAnsi"/>
          <w:color w:val="44546A" w:themeColor="text2"/>
          <w:sz w:val="24"/>
          <w:szCs w:val="24"/>
        </w:rPr>
        <w:t>situation</w:t>
      </w:r>
      <w:r w:rsidRPr="002B2576">
        <w:rPr>
          <w:rFonts w:cstheme="minorHAnsi"/>
          <w:color w:val="44546A" w:themeColor="text2"/>
          <w:sz w:val="24"/>
          <w:szCs w:val="24"/>
          <w:vertAlign w:val="superscript"/>
        </w:rPr>
        <w:t>3</w:t>
      </w:r>
      <w:r w:rsidRPr="002B2576">
        <w:rPr>
          <w:rFonts w:cstheme="minorHAnsi"/>
          <w:color w:val="44546A" w:themeColor="text2"/>
          <w:sz w:val="24"/>
          <w:szCs w:val="24"/>
        </w:rPr>
        <w:t>. Waste/discard should be performed in accordance with regulations</w:t>
      </w:r>
      <w:r w:rsidR="006E17D0">
        <w:rPr>
          <w:rFonts w:cstheme="minorHAnsi"/>
          <w:color w:val="44546A" w:themeColor="text2"/>
          <w:sz w:val="24"/>
          <w:szCs w:val="24"/>
        </w:rPr>
        <w:t>.</w:t>
      </w:r>
    </w:p>
    <w:p w14:paraId="0D663627" w14:textId="77777777" w:rsidR="002B2576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 xml:space="preserve"> Do not prepare medication in one syringe</w:t>
      </w:r>
      <w:r w:rsidR="00FE312A">
        <w:rPr>
          <w:rFonts w:cstheme="minorHAnsi"/>
          <w:color w:val="44546A" w:themeColor="text2"/>
          <w:sz w:val="24"/>
          <w:szCs w:val="24"/>
        </w:rPr>
        <w:t xml:space="preserve"> to transfer to another syringe</w:t>
      </w:r>
      <w:r w:rsidR="00FE312A">
        <w:rPr>
          <w:rFonts w:cstheme="minorHAnsi"/>
          <w:color w:val="44546A" w:themeColor="text2"/>
          <w:sz w:val="24"/>
          <w:szCs w:val="24"/>
          <w:vertAlign w:val="superscript"/>
        </w:rPr>
        <w:t>3</w:t>
      </w:r>
      <w:r w:rsidRPr="002B2576">
        <w:rPr>
          <w:rFonts w:cstheme="minorHAnsi"/>
          <w:color w:val="44546A" w:themeColor="text2"/>
          <w:sz w:val="24"/>
          <w:szCs w:val="24"/>
        </w:rPr>
        <w:t>. Do NOT withdraw IV push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</w:t>
      </w:r>
      <w:r w:rsidRPr="002B2576">
        <w:rPr>
          <w:rFonts w:cstheme="minorHAnsi"/>
          <w:color w:val="44546A" w:themeColor="text2"/>
          <w:sz w:val="24"/>
          <w:szCs w:val="24"/>
        </w:rPr>
        <w:t>medications from commercially available, cartridge-type syringes into another syringe for administration</w:t>
      </w:r>
      <w:r w:rsidR="00FE312A">
        <w:rPr>
          <w:rFonts w:cstheme="minorHAnsi"/>
          <w:color w:val="44546A" w:themeColor="text2"/>
          <w:sz w:val="24"/>
          <w:szCs w:val="24"/>
          <w:vertAlign w:val="superscript"/>
        </w:rPr>
        <w:t>5</w:t>
      </w:r>
      <w:r w:rsidRPr="002B2576">
        <w:rPr>
          <w:rFonts w:cstheme="minorHAnsi"/>
          <w:color w:val="44546A" w:themeColor="text2"/>
          <w:sz w:val="24"/>
          <w:szCs w:val="24"/>
        </w:rPr>
        <w:t>.</w:t>
      </w:r>
    </w:p>
    <w:p w14:paraId="25382513" w14:textId="77777777" w:rsidR="002B2576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>Never store or transport syringes or vials in clothing or pockets</w:t>
      </w:r>
      <w:r w:rsidRPr="002B2576">
        <w:rPr>
          <w:rFonts w:cstheme="minorHAnsi"/>
          <w:color w:val="44546A" w:themeColor="text2"/>
          <w:sz w:val="24"/>
          <w:szCs w:val="24"/>
          <w:vertAlign w:val="superscript"/>
        </w:rPr>
        <w:t>3</w:t>
      </w:r>
      <w:r w:rsidRPr="002B2576">
        <w:rPr>
          <w:rFonts w:cstheme="minorHAnsi"/>
          <w:color w:val="44546A" w:themeColor="text2"/>
          <w:sz w:val="24"/>
          <w:szCs w:val="24"/>
        </w:rPr>
        <w:t>.</w:t>
      </w:r>
    </w:p>
    <w:p w14:paraId="75F31880" w14:textId="77777777" w:rsidR="002B2576" w:rsidRPr="00BB715F" w:rsidRDefault="000763CE" w:rsidP="000763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F3864" w:themeColor="accent5" w:themeShade="80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 xml:space="preserve"> Medications should be drawn up in a desi</w:t>
      </w:r>
      <w:r w:rsidR="006E17D0">
        <w:rPr>
          <w:rFonts w:cstheme="minorHAnsi"/>
          <w:color w:val="44546A" w:themeColor="text2"/>
          <w:sz w:val="24"/>
          <w:szCs w:val="24"/>
        </w:rPr>
        <w:t>gnated “clean” medication area,</w:t>
      </w:r>
      <w:r w:rsidR="00EF1681">
        <w:rPr>
          <w:rFonts w:cstheme="minorHAnsi"/>
          <w:color w:val="44546A" w:themeColor="text2"/>
          <w:sz w:val="24"/>
          <w:szCs w:val="24"/>
        </w:rPr>
        <w:t xml:space="preserve"> </w:t>
      </w:r>
      <w:r w:rsidRPr="002B2576">
        <w:rPr>
          <w:rFonts w:cstheme="minorHAnsi"/>
          <w:color w:val="44546A" w:themeColor="text2"/>
          <w:sz w:val="24"/>
          <w:szCs w:val="24"/>
        </w:rPr>
        <w:t>that is not adjacent to areas where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</w:t>
      </w:r>
      <w:r w:rsidRPr="002B2576">
        <w:rPr>
          <w:rFonts w:cstheme="minorHAnsi"/>
          <w:color w:val="44546A" w:themeColor="text2"/>
          <w:sz w:val="24"/>
          <w:szCs w:val="24"/>
        </w:rPr>
        <w:t>potentiall</w:t>
      </w:r>
      <w:r w:rsidR="00BB715F">
        <w:rPr>
          <w:rFonts w:cstheme="minorHAnsi"/>
          <w:color w:val="44546A" w:themeColor="text2"/>
          <w:sz w:val="24"/>
          <w:szCs w:val="24"/>
        </w:rPr>
        <w:t xml:space="preserve">y contaminated items are placed, </w:t>
      </w:r>
      <w:r w:rsidR="00BB715F" w:rsidRPr="00BB715F">
        <w:rPr>
          <w:rFonts w:cstheme="minorHAnsi"/>
          <w:color w:val="1F3864" w:themeColor="accent5" w:themeShade="80"/>
          <w:sz w:val="24"/>
          <w:szCs w:val="24"/>
        </w:rPr>
        <w:t xml:space="preserve">and </w:t>
      </w:r>
      <w:r w:rsidR="00BB715F" w:rsidRPr="00BB715F">
        <w:rPr>
          <w:rFonts w:cs="Univers 47 CondensedLight"/>
          <w:color w:val="1F3864" w:themeColor="accent5" w:themeShade="80"/>
          <w:sz w:val="23"/>
          <w:szCs w:val="23"/>
        </w:rPr>
        <w:t>away from obvious contamination sources (e.g., water, sinks)</w:t>
      </w:r>
      <w:r w:rsidR="00FE312A">
        <w:rPr>
          <w:rFonts w:cs="Univers 47 CondensedLight"/>
          <w:color w:val="1F3864" w:themeColor="accent5" w:themeShade="80"/>
          <w:sz w:val="23"/>
          <w:szCs w:val="23"/>
          <w:vertAlign w:val="superscript"/>
        </w:rPr>
        <w:t>5</w:t>
      </w:r>
      <w:r w:rsidR="00BB715F" w:rsidRPr="00BB715F">
        <w:rPr>
          <w:rFonts w:cs="Univers 47 CondensedLight"/>
          <w:color w:val="1F3864" w:themeColor="accent5" w:themeShade="80"/>
          <w:sz w:val="23"/>
          <w:szCs w:val="23"/>
        </w:rPr>
        <w:t>.</w:t>
      </w:r>
    </w:p>
    <w:p w14:paraId="09FFD519" w14:textId="77777777" w:rsidR="000763CE" w:rsidRPr="000763CE" w:rsidRDefault="000763CE" w:rsidP="002B257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44546A" w:themeColor="text2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>NOTE: Examples of contaminated items that should not be placed in or near the medication preparation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area include: used equipment such as syringes, needles, IV tubing, blood collection tubes, needle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 xml:space="preserve">holders, (e.g., Vacutainer ®holder), </w:t>
      </w:r>
      <w:proofErr w:type="spellStart"/>
      <w:r w:rsidRPr="000763CE">
        <w:rPr>
          <w:rFonts w:cstheme="minorHAnsi"/>
          <w:color w:val="44546A" w:themeColor="text2"/>
          <w:sz w:val="24"/>
          <w:szCs w:val="24"/>
        </w:rPr>
        <w:t>Carpujects</w:t>
      </w:r>
      <w:proofErr w:type="spellEnd"/>
      <w:r w:rsidRPr="000763CE">
        <w:rPr>
          <w:rFonts w:cstheme="minorHAnsi"/>
          <w:color w:val="44546A" w:themeColor="text2"/>
          <w:sz w:val="24"/>
          <w:szCs w:val="24"/>
        </w:rPr>
        <w:t>® or other soiled equipment or materials that have been</w:t>
      </w:r>
      <w:r w:rsidR="002B2576">
        <w:rPr>
          <w:rFonts w:cstheme="minorHAnsi"/>
          <w:color w:val="44546A" w:themeColor="text2"/>
          <w:sz w:val="24"/>
          <w:szCs w:val="24"/>
        </w:rPr>
        <w:t xml:space="preserve"> </w:t>
      </w:r>
      <w:r w:rsidRPr="000763CE">
        <w:rPr>
          <w:rFonts w:cstheme="minorHAnsi"/>
          <w:color w:val="44546A" w:themeColor="text2"/>
          <w:sz w:val="24"/>
          <w:szCs w:val="24"/>
        </w:rPr>
        <w:t>used in a procedure.</w:t>
      </w:r>
    </w:p>
    <w:p w14:paraId="369ED774" w14:textId="77777777" w:rsidR="000763CE" w:rsidRDefault="000763CE" w:rsidP="002B25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 w:rsidRPr="002B2576">
        <w:rPr>
          <w:rFonts w:cstheme="minorHAnsi"/>
          <w:color w:val="44546A" w:themeColor="text2"/>
          <w:sz w:val="24"/>
          <w:szCs w:val="24"/>
        </w:rPr>
        <w:t>Immediately discard unattended, unlabeled syringes containing any type of solution</w:t>
      </w:r>
      <w:r w:rsidR="00C05386">
        <w:rPr>
          <w:rFonts w:cstheme="minorHAnsi"/>
          <w:color w:val="44546A" w:themeColor="text2"/>
          <w:sz w:val="24"/>
          <w:szCs w:val="24"/>
          <w:vertAlign w:val="superscript"/>
        </w:rPr>
        <w:t>5</w:t>
      </w:r>
      <w:r w:rsidRPr="002B2576">
        <w:rPr>
          <w:rFonts w:cstheme="minorHAnsi"/>
          <w:color w:val="44546A" w:themeColor="text2"/>
          <w:sz w:val="24"/>
          <w:szCs w:val="24"/>
        </w:rPr>
        <w:t>.</w:t>
      </w:r>
    </w:p>
    <w:p w14:paraId="06BC5FE6" w14:textId="77777777" w:rsidR="006E17D0" w:rsidRPr="006E17D0" w:rsidRDefault="006E17D0" w:rsidP="006E17D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44546A" w:themeColor="text2"/>
        </w:rPr>
      </w:pPr>
    </w:p>
    <w:p w14:paraId="03B7BD78" w14:textId="77777777" w:rsidR="000763CE" w:rsidRPr="006E17D0" w:rsidRDefault="000763CE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546A" w:themeColor="text2"/>
        </w:rPr>
      </w:pPr>
      <w:r w:rsidRPr="006E17D0">
        <w:rPr>
          <w:rFonts w:cstheme="minorHAnsi"/>
          <w:b/>
          <w:bCs/>
          <w:color w:val="44546A" w:themeColor="text2"/>
        </w:rPr>
        <w:t>REFERENCES:</w:t>
      </w:r>
    </w:p>
    <w:p w14:paraId="3AEC5FF0" w14:textId="77777777" w:rsidR="000763CE" w:rsidRPr="006E17D0" w:rsidRDefault="000763CE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0"/>
          <w:szCs w:val="20"/>
        </w:rPr>
      </w:pPr>
      <w:r w:rsidRPr="006E17D0">
        <w:rPr>
          <w:rFonts w:cstheme="minorHAnsi"/>
          <w:color w:val="44546A" w:themeColor="text2"/>
          <w:sz w:val="20"/>
          <w:szCs w:val="20"/>
        </w:rPr>
        <w:t>1. CDC – General – Safe Practices for Medical Infections FAQs – Injections Safety.</w:t>
      </w:r>
    </w:p>
    <w:p w14:paraId="19294EA2" w14:textId="77777777" w:rsidR="000763CE" w:rsidRPr="006E17D0" w:rsidRDefault="00D20E66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0"/>
          <w:szCs w:val="20"/>
        </w:rPr>
      </w:pPr>
      <w:hyperlink r:id="rId8" w:history="1">
        <w:r w:rsidR="00FD7060" w:rsidRPr="00E05A80">
          <w:rPr>
            <w:rStyle w:val="Hyperlink"/>
          </w:rPr>
          <w:t>https://www.cdc.gov/injectionsafety/providers/provider_faqs.html</w:t>
        </w:r>
      </w:hyperlink>
      <w:r w:rsidR="00FD7060">
        <w:t xml:space="preserve"> </w:t>
      </w:r>
      <w:r w:rsidR="002B2576" w:rsidRPr="006E17D0">
        <w:rPr>
          <w:rFonts w:cstheme="minorHAnsi"/>
          <w:color w:val="44546A" w:themeColor="text2"/>
          <w:sz w:val="20"/>
          <w:szCs w:val="20"/>
        </w:rPr>
        <w:t xml:space="preserve">last accessed </w:t>
      </w:r>
      <w:r w:rsidR="00FD7060">
        <w:rPr>
          <w:rFonts w:cstheme="minorHAnsi"/>
          <w:color w:val="44546A" w:themeColor="text2"/>
          <w:sz w:val="20"/>
          <w:szCs w:val="20"/>
        </w:rPr>
        <w:t>1/3/20</w:t>
      </w:r>
    </w:p>
    <w:p w14:paraId="60BA6B86" w14:textId="77777777" w:rsidR="000763CE" w:rsidRPr="006E17D0" w:rsidRDefault="000763CE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0"/>
          <w:szCs w:val="20"/>
        </w:rPr>
      </w:pPr>
      <w:r w:rsidRPr="006E17D0">
        <w:rPr>
          <w:rFonts w:cstheme="minorHAnsi"/>
          <w:color w:val="44546A" w:themeColor="text2"/>
          <w:sz w:val="20"/>
          <w:szCs w:val="20"/>
        </w:rPr>
        <w:t>2. CDC: Guideline for Isolation Precautions: Preventing Transmission of Infectious Agents in Healthcare Settings 2007.</w:t>
      </w:r>
    </w:p>
    <w:p w14:paraId="6ABBE93D" w14:textId="77777777" w:rsidR="000763CE" w:rsidRPr="006E17D0" w:rsidRDefault="00D20E66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0"/>
          <w:szCs w:val="20"/>
        </w:rPr>
      </w:pPr>
      <w:hyperlink r:id="rId9" w:history="1">
        <w:r w:rsidR="002B2576" w:rsidRPr="006E17D0">
          <w:rPr>
            <w:rStyle w:val="Hyperlink"/>
            <w:rFonts w:cstheme="minorHAnsi"/>
            <w:sz w:val="20"/>
            <w:szCs w:val="20"/>
          </w:rPr>
          <w:t>http://www.cdc.gov/hicpac/2007IP/2007isolationPrecautions.html</w:t>
        </w:r>
      </w:hyperlink>
      <w:r w:rsidR="002B2576" w:rsidRPr="006E17D0">
        <w:rPr>
          <w:rFonts w:cstheme="minorHAnsi"/>
          <w:color w:val="44546A" w:themeColor="text2"/>
          <w:sz w:val="20"/>
          <w:szCs w:val="20"/>
        </w:rPr>
        <w:t xml:space="preserve">  last accessed 6/2/17</w:t>
      </w:r>
    </w:p>
    <w:p w14:paraId="45EFC923" w14:textId="77777777" w:rsidR="000763CE" w:rsidRPr="006E17D0" w:rsidRDefault="000763CE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44546A" w:themeColor="text2"/>
          <w:sz w:val="20"/>
          <w:szCs w:val="20"/>
        </w:rPr>
      </w:pPr>
      <w:r w:rsidRPr="006E17D0">
        <w:rPr>
          <w:rFonts w:cstheme="minorHAnsi"/>
          <w:color w:val="44546A" w:themeColor="text2"/>
          <w:sz w:val="20"/>
          <w:szCs w:val="20"/>
        </w:rPr>
        <w:t xml:space="preserve">3. Dolan, S., et al. APIC Position Paper: Safe Injection, Infusion, and Medication Vial Practices in Health Care. </w:t>
      </w:r>
      <w:r w:rsidR="002B2576" w:rsidRPr="006E17D0">
        <w:rPr>
          <w:rFonts w:cstheme="minorHAnsi"/>
          <w:i/>
          <w:iCs/>
          <w:color w:val="44546A" w:themeColor="text2"/>
          <w:sz w:val="20"/>
          <w:szCs w:val="20"/>
        </w:rPr>
        <w:t xml:space="preserve">American </w:t>
      </w:r>
      <w:r w:rsidRPr="006E17D0">
        <w:rPr>
          <w:rFonts w:cstheme="minorHAnsi"/>
          <w:i/>
          <w:iCs/>
          <w:color w:val="44546A" w:themeColor="text2"/>
          <w:sz w:val="20"/>
          <w:szCs w:val="20"/>
        </w:rPr>
        <w:t xml:space="preserve">Journal of Infection Control </w:t>
      </w:r>
      <w:r w:rsidRPr="006E17D0">
        <w:rPr>
          <w:rFonts w:cstheme="minorHAnsi"/>
          <w:color w:val="44546A" w:themeColor="text2"/>
          <w:sz w:val="20"/>
          <w:szCs w:val="20"/>
        </w:rPr>
        <w:t>38(3): 167-172.</w:t>
      </w:r>
    </w:p>
    <w:p w14:paraId="1B0426D9" w14:textId="77777777" w:rsidR="000763CE" w:rsidRPr="00567C80" w:rsidRDefault="006E17D0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0"/>
          <w:szCs w:val="20"/>
        </w:rPr>
      </w:pPr>
      <w:r w:rsidRPr="00567C80">
        <w:rPr>
          <w:rFonts w:cstheme="minorHAnsi"/>
          <w:color w:val="44546A" w:themeColor="text2"/>
          <w:sz w:val="20"/>
          <w:szCs w:val="20"/>
        </w:rPr>
        <w:t>4</w:t>
      </w:r>
      <w:r w:rsidR="000763CE" w:rsidRPr="00567C80">
        <w:rPr>
          <w:rFonts w:cstheme="minorHAnsi"/>
          <w:color w:val="44546A" w:themeColor="text2"/>
          <w:sz w:val="20"/>
          <w:szCs w:val="20"/>
        </w:rPr>
        <w:t>. Fast Facts: Unsafe Infection Practices.</w:t>
      </w:r>
    </w:p>
    <w:p w14:paraId="0953123A" w14:textId="77777777" w:rsidR="000763CE" w:rsidRPr="006E17D0" w:rsidRDefault="00D20E66" w:rsidP="000763CE">
      <w:p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0"/>
          <w:szCs w:val="20"/>
        </w:rPr>
      </w:pPr>
      <w:hyperlink r:id="rId10" w:history="1">
        <w:r w:rsidR="00567C80">
          <w:rPr>
            <w:rStyle w:val="Hyperlink"/>
          </w:rPr>
          <w:t>https://www.cdc.gov/injectionsafety/PDF/FAQs-Safe-Practices-for-Medical-Injections.pdf</w:t>
        </w:r>
      </w:hyperlink>
      <w:r w:rsidR="00567C80">
        <w:t xml:space="preserve"> </w:t>
      </w:r>
      <w:r w:rsidR="002B2576" w:rsidRPr="006E17D0">
        <w:rPr>
          <w:rFonts w:cstheme="minorHAnsi"/>
          <w:color w:val="44546A" w:themeColor="text2"/>
          <w:sz w:val="20"/>
          <w:szCs w:val="20"/>
        </w:rPr>
        <w:t>last accessed 6/2/17</w:t>
      </w:r>
    </w:p>
    <w:p w14:paraId="52EEE1CF" w14:textId="77777777" w:rsidR="00240182" w:rsidRPr="001015A8" w:rsidRDefault="001015A8" w:rsidP="001015A8">
      <w:p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0"/>
          <w:szCs w:val="20"/>
        </w:rPr>
      </w:pPr>
      <w:r>
        <w:rPr>
          <w:rFonts w:cstheme="minorHAnsi"/>
          <w:color w:val="44546A" w:themeColor="text2"/>
          <w:sz w:val="20"/>
          <w:szCs w:val="20"/>
        </w:rPr>
        <w:t>5.</w:t>
      </w:r>
      <w:r w:rsidR="00B63992">
        <w:rPr>
          <w:rFonts w:cstheme="minorHAnsi"/>
          <w:color w:val="44546A" w:themeColor="text2"/>
          <w:sz w:val="20"/>
          <w:szCs w:val="20"/>
        </w:rPr>
        <w:t xml:space="preserve"> </w:t>
      </w:r>
      <w:r w:rsidR="000763CE" w:rsidRPr="001015A8">
        <w:rPr>
          <w:rFonts w:cstheme="minorHAnsi"/>
          <w:color w:val="44546A" w:themeColor="text2"/>
          <w:sz w:val="20"/>
          <w:szCs w:val="20"/>
        </w:rPr>
        <w:t>Institute for Safe Medication Practices (ISMP), Safe Practice Guidelines for A</w:t>
      </w:r>
      <w:r w:rsidR="002B2576" w:rsidRPr="001015A8">
        <w:rPr>
          <w:rFonts w:cstheme="minorHAnsi"/>
          <w:color w:val="44546A" w:themeColor="text2"/>
          <w:sz w:val="20"/>
          <w:szCs w:val="20"/>
        </w:rPr>
        <w:t xml:space="preserve">dult IV Push Medications, 2015. </w:t>
      </w:r>
      <w:hyperlink r:id="rId11" w:history="1">
        <w:r w:rsidR="002B2576" w:rsidRPr="001015A8">
          <w:rPr>
            <w:rStyle w:val="Hyperlink"/>
            <w:rFonts w:cstheme="minorHAnsi"/>
            <w:sz w:val="20"/>
            <w:szCs w:val="20"/>
          </w:rPr>
          <w:t>http://www.ismp.org/Tools/guidelines/ivsummitpush/ivpushmedguidelines.pdf</w:t>
        </w:r>
      </w:hyperlink>
      <w:r w:rsidR="002B2576" w:rsidRPr="001015A8">
        <w:rPr>
          <w:rFonts w:cstheme="minorHAnsi"/>
          <w:color w:val="0000FF"/>
          <w:sz w:val="20"/>
          <w:szCs w:val="20"/>
        </w:rPr>
        <w:t xml:space="preserve">  </w:t>
      </w:r>
      <w:r w:rsidR="002B2576" w:rsidRPr="001015A8">
        <w:rPr>
          <w:rFonts w:cstheme="minorHAnsi"/>
          <w:color w:val="44546A" w:themeColor="text2"/>
          <w:sz w:val="20"/>
          <w:szCs w:val="20"/>
        </w:rPr>
        <w:t>last accessed 6/2/17</w:t>
      </w:r>
    </w:p>
    <w:p w14:paraId="31599885" w14:textId="77777777" w:rsidR="00240182" w:rsidRPr="00240182" w:rsidRDefault="00C05386" w:rsidP="00240182">
      <w:pPr>
        <w:autoSpaceDE w:val="0"/>
        <w:autoSpaceDN w:val="0"/>
        <w:adjustRightInd w:val="0"/>
        <w:spacing w:after="0" w:line="240" w:lineRule="auto"/>
        <w:rPr>
          <w:rFonts w:cstheme="minorHAnsi"/>
          <w:color w:val="2F5496" w:themeColor="accent5" w:themeShade="BF"/>
          <w:sz w:val="20"/>
          <w:szCs w:val="20"/>
        </w:rPr>
      </w:pPr>
      <w:r>
        <w:rPr>
          <w:rFonts w:cstheme="minorHAnsi"/>
          <w:color w:val="2F5496" w:themeColor="accent5" w:themeShade="BF"/>
          <w:sz w:val="20"/>
          <w:szCs w:val="20"/>
        </w:rPr>
        <w:t>6</w:t>
      </w:r>
      <w:r w:rsidR="00240182" w:rsidRPr="00240182">
        <w:rPr>
          <w:rFonts w:cstheme="minorHAnsi"/>
          <w:color w:val="2F5496" w:themeColor="accent5" w:themeShade="BF"/>
          <w:sz w:val="20"/>
          <w:szCs w:val="20"/>
        </w:rPr>
        <w:t>.</w:t>
      </w:r>
      <w:r w:rsidR="00240182" w:rsidRPr="00240182">
        <w:rPr>
          <w:rFonts w:cs="Univers 47 CondensedLight"/>
          <w:color w:val="2F5496" w:themeColor="accent5" w:themeShade="BF"/>
          <w:sz w:val="20"/>
          <w:szCs w:val="20"/>
        </w:rPr>
        <w:t xml:space="preserve"> US Pharmacopeial Convention, Inc. General Chapter &lt;797&gt; Pharmaceutical Compounding-Sterile Preparations. In: </w:t>
      </w:r>
      <w:r w:rsidR="00240182" w:rsidRPr="00240182">
        <w:rPr>
          <w:rFonts w:cs="Univers 47 CondensedLight"/>
          <w:i/>
          <w:iCs/>
          <w:color w:val="2F5496" w:themeColor="accent5" w:themeShade="BF"/>
          <w:sz w:val="20"/>
          <w:szCs w:val="20"/>
        </w:rPr>
        <w:t>The United States Pharmacopeia, 32</w:t>
      </w:r>
      <w:r w:rsidR="00240182" w:rsidRPr="00240182">
        <w:rPr>
          <w:rStyle w:val="A9"/>
          <w:color w:val="2F5496" w:themeColor="accent5" w:themeShade="BF"/>
          <w:sz w:val="20"/>
          <w:szCs w:val="20"/>
        </w:rPr>
        <w:t xml:space="preserve">nd </w:t>
      </w:r>
      <w:r w:rsidR="00240182" w:rsidRPr="00240182">
        <w:rPr>
          <w:rFonts w:cs="Univers 47 CondensedLight"/>
          <w:i/>
          <w:iCs/>
          <w:color w:val="2F5496" w:themeColor="accent5" w:themeShade="BF"/>
          <w:sz w:val="20"/>
          <w:szCs w:val="20"/>
        </w:rPr>
        <w:t>Revision and The National Formulary, 27</w:t>
      </w:r>
      <w:r w:rsidR="00240182" w:rsidRPr="00240182">
        <w:rPr>
          <w:rStyle w:val="A9"/>
          <w:color w:val="2F5496" w:themeColor="accent5" w:themeShade="BF"/>
          <w:sz w:val="20"/>
          <w:szCs w:val="20"/>
        </w:rPr>
        <w:t xml:space="preserve">th </w:t>
      </w:r>
      <w:r w:rsidR="00240182" w:rsidRPr="00240182">
        <w:rPr>
          <w:rFonts w:cs="Univers 47 CondensedLight"/>
          <w:i/>
          <w:iCs/>
          <w:color w:val="2F5496" w:themeColor="accent5" w:themeShade="BF"/>
          <w:sz w:val="20"/>
          <w:szCs w:val="20"/>
        </w:rPr>
        <w:t xml:space="preserve">ed. </w:t>
      </w:r>
      <w:r w:rsidR="00240182" w:rsidRPr="00240182">
        <w:rPr>
          <w:rFonts w:cs="Univers 47 CondensedLight"/>
          <w:color w:val="2F5496" w:themeColor="accent5" w:themeShade="BF"/>
          <w:sz w:val="20"/>
          <w:szCs w:val="20"/>
        </w:rPr>
        <w:t xml:space="preserve">Rockville, MD: United States Pharmacopeial Convention; 2009:318-54. </w:t>
      </w:r>
      <w:r w:rsidR="00240182" w:rsidRPr="00240182">
        <w:rPr>
          <w:rFonts w:cstheme="minorHAnsi"/>
          <w:color w:val="2F5496" w:themeColor="accent5" w:themeShade="BF"/>
          <w:sz w:val="20"/>
          <w:szCs w:val="20"/>
        </w:rPr>
        <w:t xml:space="preserve"> </w:t>
      </w:r>
    </w:p>
    <w:sectPr w:rsidR="00240182" w:rsidRPr="0024018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BF321" w14:textId="77777777" w:rsidR="00D20E66" w:rsidRDefault="00D20E66" w:rsidP="006E17D0">
      <w:pPr>
        <w:spacing w:after="0" w:line="240" w:lineRule="auto"/>
      </w:pPr>
      <w:r>
        <w:separator/>
      </w:r>
    </w:p>
  </w:endnote>
  <w:endnote w:type="continuationSeparator" w:id="0">
    <w:p w14:paraId="324E6728" w14:textId="77777777" w:rsidR="00D20E66" w:rsidRDefault="00D20E66" w:rsidP="006E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47 CondensedLight">
    <w:altName w:val="Univers 47 Condensed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8D0E3" w14:textId="77777777" w:rsidR="006E17D0" w:rsidRDefault="00F9340F" w:rsidP="006E17D0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ADC1AF" wp14:editId="40EC24E0">
          <wp:simplePos x="0" y="0"/>
          <wp:positionH relativeFrom="column">
            <wp:posOffset>5288280</wp:posOffset>
          </wp:positionH>
          <wp:positionV relativeFrom="paragraph">
            <wp:posOffset>-217805</wp:posOffset>
          </wp:positionV>
          <wp:extent cx="751205" cy="356235"/>
          <wp:effectExtent l="0" t="0" r="0" b="5715"/>
          <wp:wrapTight wrapText="bothSides">
            <wp:wrapPolygon edited="0">
              <wp:start x="0" y="0"/>
              <wp:lineTo x="0" y="20791"/>
              <wp:lineTo x="20815" y="20791"/>
              <wp:lineTo x="2081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2" t="18349" r="55616" b="22872"/>
                  <a:stretch/>
                </pic:blipFill>
                <pic:spPr bwMode="auto">
                  <a:xfrm>
                    <a:off x="0" y="0"/>
                    <a:ext cx="751205" cy="356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E17D0">
      <w:t xml:space="preserve">Policy Template </w:t>
    </w:r>
    <w:r w:rsidR="00FD7060">
      <w:t>January 2020</w:t>
    </w:r>
    <w:r w:rsidR="006E17D0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BA6F7" w14:textId="77777777" w:rsidR="00D20E66" w:rsidRDefault="00D20E66" w:rsidP="006E17D0">
      <w:pPr>
        <w:spacing w:after="0" w:line="240" w:lineRule="auto"/>
      </w:pPr>
      <w:r>
        <w:separator/>
      </w:r>
    </w:p>
  </w:footnote>
  <w:footnote w:type="continuationSeparator" w:id="0">
    <w:p w14:paraId="35324638" w14:textId="77777777" w:rsidR="00D20E66" w:rsidRDefault="00D20E66" w:rsidP="006E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8EB37" w14:textId="77777777" w:rsidR="006E17D0" w:rsidRDefault="004D1804" w:rsidP="004D1804">
    <w:pPr>
      <w:pStyle w:val="Header"/>
      <w:jc w:val="right"/>
    </w:pPr>
    <w:r>
      <w:t xml:space="preserve">[ Facility </w:t>
    </w:r>
    <w:proofErr w:type="gramStart"/>
    <w:r>
      <w:t>Logo ]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F18C7"/>
    <w:multiLevelType w:val="hybridMultilevel"/>
    <w:tmpl w:val="1CA8E3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3241A8"/>
    <w:multiLevelType w:val="hybridMultilevel"/>
    <w:tmpl w:val="F1C6FC66"/>
    <w:lvl w:ilvl="0" w:tplc="2D1CF4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751EF1"/>
    <w:multiLevelType w:val="hybridMultilevel"/>
    <w:tmpl w:val="6AA22E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A77150"/>
    <w:multiLevelType w:val="hybridMultilevel"/>
    <w:tmpl w:val="203015D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7EE7EE7"/>
    <w:multiLevelType w:val="hybridMultilevel"/>
    <w:tmpl w:val="780C07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C065D9"/>
    <w:multiLevelType w:val="hybridMultilevel"/>
    <w:tmpl w:val="5F688954"/>
    <w:lvl w:ilvl="0" w:tplc="2D1CF4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C08410C0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D05426"/>
    <w:multiLevelType w:val="hybridMultilevel"/>
    <w:tmpl w:val="FFAC0AE4"/>
    <w:lvl w:ilvl="0" w:tplc="2D1CF4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CE790A"/>
    <w:multiLevelType w:val="hybridMultilevel"/>
    <w:tmpl w:val="850215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651450"/>
    <w:multiLevelType w:val="hybridMultilevel"/>
    <w:tmpl w:val="FC887418"/>
    <w:lvl w:ilvl="0" w:tplc="2D1CF4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74AA5"/>
    <w:multiLevelType w:val="hybridMultilevel"/>
    <w:tmpl w:val="D28CE4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3C59AC"/>
    <w:multiLevelType w:val="hybridMultilevel"/>
    <w:tmpl w:val="97D0A0F6"/>
    <w:lvl w:ilvl="0" w:tplc="A94084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CE"/>
    <w:rsid w:val="0000260E"/>
    <w:rsid w:val="0005295A"/>
    <w:rsid w:val="000763CE"/>
    <w:rsid w:val="000F5802"/>
    <w:rsid w:val="001015A8"/>
    <w:rsid w:val="00235D34"/>
    <w:rsid w:val="00240182"/>
    <w:rsid w:val="00290D2A"/>
    <w:rsid w:val="002B2576"/>
    <w:rsid w:val="004D1804"/>
    <w:rsid w:val="00567C80"/>
    <w:rsid w:val="006D658A"/>
    <w:rsid w:val="006E17D0"/>
    <w:rsid w:val="00B55F8C"/>
    <w:rsid w:val="00B63992"/>
    <w:rsid w:val="00BB715F"/>
    <w:rsid w:val="00C05386"/>
    <w:rsid w:val="00D20E66"/>
    <w:rsid w:val="00ED13A3"/>
    <w:rsid w:val="00EE36DE"/>
    <w:rsid w:val="00EF1681"/>
    <w:rsid w:val="00F9340F"/>
    <w:rsid w:val="00FB5B55"/>
    <w:rsid w:val="00FD7060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F1EF1"/>
  <w15:chartTrackingRefBased/>
  <w15:docId w15:val="{7A322B59-148D-46AD-87C5-7D530061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3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5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57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7D0"/>
  </w:style>
  <w:style w:type="paragraph" w:styleId="Footer">
    <w:name w:val="footer"/>
    <w:basedOn w:val="Normal"/>
    <w:link w:val="FooterChar"/>
    <w:uiPriority w:val="99"/>
    <w:unhideWhenUsed/>
    <w:rsid w:val="006E1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7D0"/>
  </w:style>
  <w:style w:type="paragraph" w:styleId="BalloonText">
    <w:name w:val="Balloon Text"/>
    <w:basedOn w:val="Normal"/>
    <w:link w:val="BalloonTextChar"/>
    <w:uiPriority w:val="99"/>
    <w:semiHidden/>
    <w:unhideWhenUsed/>
    <w:rsid w:val="00EE3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6DE"/>
    <w:rPr>
      <w:rFonts w:ascii="Segoe UI" w:hAnsi="Segoe UI" w:cs="Segoe UI"/>
      <w:sz w:val="18"/>
      <w:szCs w:val="18"/>
    </w:rPr>
  </w:style>
  <w:style w:type="character" w:customStyle="1" w:styleId="A9">
    <w:name w:val="A9"/>
    <w:uiPriority w:val="99"/>
    <w:rsid w:val="00240182"/>
    <w:rPr>
      <w:rFonts w:cs="Univers 47 Condensed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injectionsafety/providers/provider_faqs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dc.gov/vaccines/recs/storage/default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mp.org/Tools/guidelines/ivsummitpush/ivpushmedguidelines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dc.gov/injectionsafety/PDF/FAQs-Safe-Practices-for-Medical-Injectio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/hicpac/2007IP/2007isolationPrecautions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Medicine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Tyner, Laura Kate</dc:creator>
  <cp:keywords/>
  <dc:description/>
  <cp:lastModifiedBy>Beach, Sue</cp:lastModifiedBy>
  <cp:revision>12</cp:revision>
  <cp:lastPrinted>2017-06-02T18:42:00Z</cp:lastPrinted>
  <dcterms:created xsi:type="dcterms:W3CDTF">2017-06-02T18:06:00Z</dcterms:created>
  <dcterms:modified xsi:type="dcterms:W3CDTF">2020-01-03T13:15:00Z</dcterms:modified>
</cp:coreProperties>
</file>